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A288B" w14:textId="77777777" w:rsidR="00AB05AE" w:rsidRPr="007735EB" w:rsidRDefault="004B7ED8" w:rsidP="007735EB">
      <w:pPr>
        <w:spacing w:before="120" w:after="120"/>
        <w:jc w:val="center"/>
        <w:rPr>
          <w:rFonts w:ascii="Times New Roman" w:eastAsia="Times New Roman" w:hAnsi="Times New Roman" w:cs="Times New Roman"/>
          <w:b/>
          <w:bCs/>
          <w:color w:val="000000" w:themeColor="text1"/>
          <w:sz w:val="36"/>
          <w:szCs w:val="36"/>
        </w:rPr>
      </w:pPr>
      <w:r w:rsidRPr="007735EB">
        <w:rPr>
          <w:rFonts w:ascii="Times New Roman" w:eastAsia="Times New Roman" w:hAnsi="Times New Roman" w:cs="Times New Roman"/>
          <w:b/>
          <w:bCs/>
          <w:color w:val="000000" w:themeColor="text1"/>
          <w:sz w:val="36"/>
          <w:szCs w:val="36"/>
        </w:rPr>
        <w:t>Vadlīnijas un metodika profesionālās pilnveides programmu īstenošanai augstākās izglītības iestādēs</w:t>
      </w:r>
    </w:p>
    <w:p w14:paraId="3C9911CC" w14:textId="77777777" w:rsidR="00D53D00" w:rsidRPr="007735EB" w:rsidRDefault="00D53D00" w:rsidP="007735EB">
      <w:pPr>
        <w:spacing w:before="120" w:after="120"/>
        <w:rPr>
          <w:rFonts w:ascii="Times New Roman" w:eastAsia="Times New Roman" w:hAnsi="Times New Roman" w:cs="Times New Roman"/>
          <w:b/>
          <w:bCs/>
          <w:color w:val="000000" w:themeColor="text1"/>
          <w:sz w:val="24"/>
          <w:szCs w:val="24"/>
        </w:rPr>
      </w:pPr>
    </w:p>
    <w:p w14:paraId="5D8A288C" w14:textId="6C560F62" w:rsidR="00AB05AE" w:rsidRPr="007735EB" w:rsidRDefault="004B7ED8" w:rsidP="007735EB">
      <w:pPr>
        <w:spacing w:before="120" w:after="120"/>
        <w:rPr>
          <w:rFonts w:ascii="Times New Roman" w:eastAsia="Times New Roman" w:hAnsi="Times New Roman" w:cs="Times New Roman"/>
          <w:b/>
          <w:bCs/>
          <w:color w:val="000000" w:themeColor="text1"/>
          <w:sz w:val="24"/>
          <w:szCs w:val="24"/>
        </w:rPr>
      </w:pPr>
      <w:r w:rsidRPr="007735EB">
        <w:rPr>
          <w:rFonts w:ascii="Times New Roman" w:eastAsia="Times New Roman" w:hAnsi="Times New Roman" w:cs="Times New Roman"/>
          <w:b/>
          <w:bCs/>
          <w:color w:val="000000" w:themeColor="text1"/>
          <w:sz w:val="24"/>
          <w:szCs w:val="24"/>
        </w:rPr>
        <w:t>Saīsinājumi un apzīmējumi</w:t>
      </w:r>
    </w:p>
    <w:p w14:paraId="1281B45E" w14:textId="7E432006" w:rsidR="0027410C" w:rsidRDefault="0027410C" w:rsidP="007735EB">
      <w:pPr>
        <w:spacing w:before="120"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AIC -</w:t>
      </w:r>
      <w:r w:rsidR="00B750A6">
        <w:rPr>
          <w:rFonts w:ascii="Times New Roman" w:eastAsia="Times New Roman" w:hAnsi="Times New Roman" w:cs="Times New Roman"/>
          <w:color w:val="000000" w:themeColor="text1"/>
          <w:sz w:val="24"/>
          <w:szCs w:val="24"/>
        </w:rPr>
        <w:t xml:space="preserve"> </w:t>
      </w:r>
      <w:r w:rsidR="00B750A6" w:rsidRPr="00B750A6">
        <w:rPr>
          <w:rFonts w:ascii="Times New Roman" w:eastAsia="Times New Roman" w:hAnsi="Times New Roman" w:cs="Times New Roman"/>
          <w:color w:val="000000" w:themeColor="text1"/>
          <w:sz w:val="24"/>
          <w:szCs w:val="24"/>
        </w:rPr>
        <w:t>Akadēmiskās informācijas centr</w:t>
      </w:r>
      <w:r w:rsidR="00B750A6">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 </w:t>
      </w:r>
    </w:p>
    <w:p w14:paraId="5D8A288D" w14:textId="1A503804" w:rsidR="00AB05AE" w:rsidRDefault="004B7ED8" w:rsidP="007735EB">
      <w:pPr>
        <w:spacing w:before="120" w:after="120"/>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AII - augstākās izglītības iestādes</w:t>
      </w:r>
    </w:p>
    <w:p w14:paraId="79FB76E7" w14:textId="5247B3C0" w:rsidR="009417C9" w:rsidRDefault="009417C9" w:rsidP="007735EB">
      <w:pPr>
        <w:spacing w:before="120"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CV - </w:t>
      </w:r>
      <w:r w:rsidRPr="009417C9">
        <w:rPr>
          <w:rFonts w:ascii="Times New Roman" w:eastAsia="Times New Roman" w:hAnsi="Times New Roman" w:cs="Times New Roman"/>
          <w:color w:val="000000" w:themeColor="text1"/>
          <w:sz w:val="24"/>
          <w:szCs w:val="24"/>
        </w:rPr>
        <w:t xml:space="preserve">Curriculum </w:t>
      </w:r>
      <w:r>
        <w:rPr>
          <w:rFonts w:ascii="Times New Roman" w:eastAsia="Times New Roman" w:hAnsi="Times New Roman" w:cs="Times New Roman"/>
          <w:color w:val="000000" w:themeColor="text1"/>
          <w:sz w:val="24"/>
          <w:szCs w:val="24"/>
        </w:rPr>
        <w:t>V</w:t>
      </w:r>
      <w:r w:rsidRPr="009417C9">
        <w:rPr>
          <w:rFonts w:ascii="Times New Roman" w:eastAsia="Times New Roman" w:hAnsi="Times New Roman" w:cs="Times New Roman"/>
          <w:color w:val="000000" w:themeColor="text1"/>
          <w:sz w:val="24"/>
          <w:szCs w:val="24"/>
        </w:rPr>
        <w:t>itae</w:t>
      </w:r>
      <w:r>
        <w:rPr>
          <w:rFonts w:ascii="Times New Roman" w:eastAsia="Times New Roman" w:hAnsi="Times New Roman" w:cs="Times New Roman"/>
          <w:color w:val="000000" w:themeColor="text1"/>
          <w:sz w:val="24"/>
          <w:szCs w:val="24"/>
        </w:rPr>
        <w:t xml:space="preserve"> (</w:t>
      </w:r>
      <w:r w:rsidR="0098359C">
        <w:rPr>
          <w:rFonts w:ascii="Times New Roman" w:eastAsia="Times New Roman" w:hAnsi="Times New Roman" w:cs="Times New Roman"/>
          <w:color w:val="000000" w:themeColor="text1"/>
          <w:sz w:val="24"/>
          <w:szCs w:val="24"/>
        </w:rPr>
        <w:t>dzīves gaita)</w:t>
      </w:r>
    </w:p>
    <w:p w14:paraId="1430960D" w14:textId="6596B999" w:rsidR="00961408" w:rsidRDefault="00961408" w:rsidP="007735EB">
      <w:pPr>
        <w:spacing w:before="120"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ECTS - </w:t>
      </w:r>
      <w:r w:rsidRPr="00961408">
        <w:rPr>
          <w:rFonts w:ascii="Times New Roman" w:eastAsia="Times New Roman" w:hAnsi="Times New Roman" w:cs="Times New Roman"/>
          <w:color w:val="000000" w:themeColor="text1"/>
          <w:sz w:val="24"/>
          <w:szCs w:val="24"/>
        </w:rPr>
        <w:t>Eiropas kredītpunktu pārneses un uzkrāšanas sistēmas uzskaites vienība</w:t>
      </w:r>
    </w:p>
    <w:p w14:paraId="73A15D66" w14:textId="3CA7ACF1" w:rsidR="00607F5D" w:rsidRDefault="00607F5D" w:rsidP="007735EB">
      <w:pPr>
        <w:spacing w:before="120"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EDC - </w:t>
      </w:r>
      <w:r w:rsidRPr="007735EB">
        <w:rPr>
          <w:rFonts w:ascii="Times New Roman" w:eastAsia="Times New Roman" w:hAnsi="Times New Roman" w:cs="Times New Roman"/>
          <w:color w:val="000000" w:themeColor="text1"/>
          <w:sz w:val="24"/>
          <w:szCs w:val="24"/>
        </w:rPr>
        <w:t>European Digital Credential for Learning</w:t>
      </w:r>
      <w:r>
        <w:rPr>
          <w:rFonts w:ascii="Times New Roman" w:eastAsia="Times New Roman" w:hAnsi="Times New Roman" w:cs="Times New Roman"/>
          <w:color w:val="000000" w:themeColor="text1"/>
          <w:sz w:val="24"/>
          <w:szCs w:val="24"/>
        </w:rPr>
        <w:t xml:space="preserve"> (</w:t>
      </w:r>
      <w:r w:rsidR="004B7ED8" w:rsidRPr="004B7ED8">
        <w:rPr>
          <w:rFonts w:ascii="Times New Roman" w:eastAsia="Times New Roman" w:hAnsi="Times New Roman" w:cs="Times New Roman"/>
          <w:color w:val="000000" w:themeColor="text1"/>
          <w:sz w:val="24"/>
          <w:szCs w:val="24"/>
        </w:rPr>
        <w:t>Eiropas digitālo mācību apliecinājuma dokument</w:t>
      </w:r>
      <w:r w:rsidR="004B7ED8">
        <w:rPr>
          <w:rFonts w:ascii="Times New Roman" w:eastAsia="Times New Roman" w:hAnsi="Times New Roman" w:cs="Times New Roman"/>
          <w:color w:val="000000" w:themeColor="text1"/>
          <w:sz w:val="24"/>
          <w:szCs w:val="24"/>
        </w:rPr>
        <w:t>i)</w:t>
      </w:r>
    </w:p>
    <w:p w14:paraId="48BDC82E" w14:textId="01D37972" w:rsidR="0015030F" w:rsidRDefault="0015030F" w:rsidP="007735EB">
      <w:pPr>
        <w:spacing w:before="120"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EKI - </w:t>
      </w:r>
      <w:r w:rsidRPr="007735EB">
        <w:rPr>
          <w:rFonts w:ascii="Times New Roman" w:eastAsia="Times New Roman" w:hAnsi="Times New Roman" w:cs="Times New Roman"/>
          <w:color w:val="000000" w:themeColor="text1"/>
          <w:sz w:val="24"/>
          <w:szCs w:val="24"/>
        </w:rPr>
        <w:t>Eiropas kvalifikāciju ietvarstruktūra</w:t>
      </w:r>
    </w:p>
    <w:p w14:paraId="4D0DF808" w14:textId="1F61EFD3" w:rsidR="00037109" w:rsidRDefault="00037109" w:rsidP="007735EB">
      <w:pPr>
        <w:spacing w:before="120"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ESG - </w:t>
      </w:r>
      <w:r w:rsidR="00C749C2" w:rsidRPr="00C749C2">
        <w:rPr>
          <w:rFonts w:ascii="Times New Roman" w:eastAsia="Times New Roman" w:hAnsi="Times New Roman" w:cs="Times New Roman"/>
          <w:color w:val="000000" w:themeColor="text1"/>
          <w:sz w:val="24"/>
          <w:szCs w:val="24"/>
        </w:rPr>
        <w:t>Standarti un vadlīnijas kvalitātes nodrošināšanai Eiropas augstākās izglītības telpā</w:t>
      </w:r>
    </w:p>
    <w:p w14:paraId="3EF35D42" w14:textId="3F463127" w:rsidR="0068141E" w:rsidRPr="007735EB" w:rsidRDefault="00BD236F" w:rsidP="007735EB">
      <w:pPr>
        <w:spacing w:before="120"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LKI - </w:t>
      </w:r>
      <w:r w:rsidR="0015030F" w:rsidRPr="0015030F">
        <w:rPr>
          <w:rFonts w:ascii="Times New Roman" w:eastAsia="Times New Roman" w:hAnsi="Times New Roman" w:cs="Times New Roman"/>
          <w:color w:val="000000" w:themeColor="text1"/>
          <w:sz w:val="24"/>
          <w:szCs w:val="24"/>
        </w:rPr>
        <w:t>Latvijas kvalifikāciju ietvarstruktūra</w:t>
      </w:r>
    </w:p>
    <w:p w14:paraId="5D8A288E" w14:textId="77777777" w:rsidR="00AB05AE" w:rsidRPr="007735EB" w:rsidRDefault="004B7ED8" w:rsidP="007735EB">
      <w:pPr>
        <w:spacing w:before="120" w:after="120"/>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MI - mākslīgais intelekts</w:t>
      </w:r>
    </w:p>
    <w:p w14:paraId="5D8A2890" w14:textId="2775F4A9" w:rsidR="00AB05AE" w:rsidRPr="007735EB" w:rsidRDefault="004B7ED8" w:rsidP="007735EB">
      <w:pPr>
        <w:spacing w:before="120" w:after="120"/>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PPP - profesionālās pilnveides programmas</w:t>
      </w:r>
    </w:p>
    <w:sdt>
      <w:sdtPr>
        <w:rPr>
          <w:rFonts w:ascii="Times New Roman" w:eastAsiaTheme="minorEastAsia" w:hAnsi="Times New Roman" w:cs="Times New Roman"/>
          <w:color w:val="auto"/>
          <w:sz w:val="22"/>
          <w:szCs w:val="22"/>
        </w:rPr>
        <w:id w:val="-1039585532"/>
        <w:docPartObj>
          <w:docPartGallery w:val="Table of Contents"/>
          <w:docPartUnique/>
        </w:docPartObj>
      </w:sdtPr>
      <w:sdtEndPr>
        <w:rPr>
          <w:rFonts w:asciiTheme="minorHAnsi" w:hAnsiTheme="minorHAnsi" w:cstheme="minorBidi"/>
          <w:b/>
          <w:bCs/>
          <w:noProof/>
        </w:rPr>
      </w:sdtEndPr>
      <w:sdtContent>
        <w:p w14:paraId="08A24DC1" w14:textId="3CCC71E1" w:rsidR="00C03082" w:rsidRPr="00C03082" w:rsidRDefault="00C03082" w:rsidP="008B6225">
          <w:pPr>
            <w:pStyle w:val="TOCHeading"/>
            <w:spacing w:before="480" w:after="120" w:line="216" w:lineRule="auto"/>
            <w:rPr>
              <w:rFonts w:ascii="Times New Roman" w:hAnsi="Times New Roman" w:cs="Times New Roman"/>
              <w:b/>
              <w:bCs/>
              <w:color w:val="000000" w:themeColor="text1"/>
              <w:sz w:val="24"/>
              <w:szCs w:val="24"/>
            </w:rPr>
          </w:pPr>
          <w:r w:rsidRPr="00C03082">
            <w:rPr>
              <w:rFonts w:ascii="Times New Roman" w:hAnsi="Times New Roman" w:cs="Times New Roman"/>
              <w:b/>
              <w:bCs/>
              <w:color w:val="000000" w:themeColor="text1"/>
              <w:sz w:val="24"/>
              <w:szCs w:val="24"/>
            </w:rPr>
            <w:t>Satura rādītājs</w:t>
          </w:r>
        </w:p>
        <w:p w14:paraId="07D198E1" w14:textId="47C3EBB1" w:rsidR="008B6225" w:rsidRDefault="00C03082" w:rsidP="008B6225">
          <w:pPr>
            <w:pStyle w:val="TOC1"/>
            <w:tabs>
              <w:tab w:val="right" w:leader="dot" w:pos="8926"/>
            </w:tabs>
            <w:spacing w:line="216" w:lineRule="auto"/>
            <w:rPr>
              <w:noProof/>
              <w:kern w:val="2"/>
              <w:sz w:val="24"/>
              <w:szCs w:val="24"/>
              <w:lang w:val="lv-LV" w:eastAsia="lv-LV"/>
              <w14:ligatures w14:val="standardContextual"/>
            </w:rPr>
          </w:pPr>
          <w:r w:rsidRPr="00C03082">
            <w:rPr>
              <w:rFonts w:ascii="Times New Roman" w:hAnsi="Times New Roman" w:cs="Times New Roman"/>
            </w:rPr>
            <w:fldChar w:fldCharType="begin"/>
          </w:r>
          <w:r w:rsidRPr="00C03082">
            <w:rPr>
              <w:rFonts w:ascii="Times New Roman" w:hAnsi="Times New Roman" w:cs="Times New Roman"/>
            </w:rPr>
            <w:instrText xml:space="preserve"> TOC \o "1-3" \h \z \u </w:instrText>
          </w:r>
          <w:r w:rsidRPr="00C03082">
            <w:rPr>
              <w:rFonts w:ascii="Times New Roman" w:hAnsi="Times New Roman" w:cs="Times New Roman"/>
            </w:rPr>
            <w:fldChar w:fldCharType="separate"/>
          </w:r>
          <w:hyperlink w:anchor="_Toc218504998" w:history="1">
            <w:r w:rsidR="008B6225" w:rsidRPr="005A331B">
              <w:rPr>
                <w:rStyle w:val="Hyperlink"/>
                <w:rFonts w:ascii="Times New Roman" w:eastAsia="Times New Roman" w:hAnsi="Times New Roman" w:cs="Times New Roman"/>
                <w:b/>
                <w:bCs/>
                <w:noProof/>
              </w:rPr>
              <w:t>Preambula</w:t>
            </w:r>
            <w:r w:rsidR="008B6225">
              <w:rPr>
                <w:noProof/>
                <w:webHidden/>
              </w:rPr>
              <w:tab/>
            </w:r>
            <w:r w:rsidR="008B6225">
              <w:rPr>
                <w:noProof/>
                <w:webHidden/>
              </w:rPr>
              <w:fldChar w:fldCharType="begin"/>
            </w:r>
            <w:r w:rsidR="008B6225">
              <w:rPr>
                <w:noProof/>
                <w:webHidden/>
              </w:rPr>
              <w:instrText xml:space="preserve"> PAGEREF _Toc218504998 \h </w:instrText>
            </w:r>
            <w:r w:rsidR="008B6225">
              <w:rPr>
                <w:noProof/>
                <w:webHidden/>
              </w:rPr>
            </w:r>
            <w:r w:rsidR="008B6225">
              <w:rPr>
                <w:noProof/>
                <w:webHidden/>
              </w:rPr>
              <w:fldChar w:fldCharType="separate"/>
            </w:r>
            <w:r w:rsidR="008B6225">
              <w:rPr>
                <w:noProof/>
                <w:webHidden/>
              </w:rPr>
              <w:t>2</w:t>
            </w:r>
            <w:r w:rsidR="008B6225">
              <w:rPr>
                <w:noProof/>
                <w:webHidden/>
              </w:rPr>
              <w:fldChar w:fldCharType="end"/>
            </w:r>
          </w:hyperlink>
        </w:p>
        <w:p w14:paraId="0EE29C79" w14:textId="24908721" w:rsidR="008B6225" w:rsidRDefault="008B6225" w:rsidP="008B6225">
          <w:pPr>
            <w:pStyle w:val="TOC1"/>
            <w:tabs>
              <w:tab w:val="left" w:pos="480"/>
              <w:tab w:val="right" w:leader="dot" w:pos="8926"/>
            </w:tabs>
            <w:spacing w:line="216" w:lineRule="auto"/>
            <w:rPr>
              <w:noProof/>
              <w:kern w:val="2"/>
              <w:sz w:val="24"/>
              <w:szCs w:val="24"/>
              <w:lang w:val="lv-LV" w:eastAsia="lv-LV"/>
              <w14:ligatures w14:val="standardContextual"/>
            </w:rPr>
          </w:pPr>
          <w:hyperlink w:anchor="_Toc218504999" w:history="1">
            <w:r w:rsidRPr="005A331B">
              <w:rPr>
                <w:rStyle w:val="Hyperlink"/>
                <w:rFonts w:ascii="Times New Roman" w:hAnsi="Times New Roman" w:cs="Times New Roman"/>
                <w:b/>
                <w:bCs/>
                <w:noProof/>
              </w:rPr>
              <w:t>1.</w:t>
            </w:r>
            <w:r>
              <w:rPr>
                <w:noProof/>
                <w:kern w:val="2"/>
                <w:sz w:val="24"/>
                <w:szCs w:val="24"/>
                <w:lang w:val="lv-LV" w:eastAsia="lv-LV"/>
                <w14:ligatures w14:val="standardContextual"/>
              </w:rPr>
              <w:tab/>
            </w:r>
            <w:r w:rsidRPr="005A331B">
              <w:rPr>
                <w:rStyle w:val="Hyperlink"/>
                <w:rFonts w:ascii="Times New Roman" w:hAnsi="Times New Roman" w:cs="Times New Roman"/>
                <w:b/>
                <w:bCs/>
                <w:noProof/>
              </w:rPr>
              <w:t>Plānošana</w:t>
            </w:r>
            <w:r>
              <w:rPr>
                <w:noProof/>
                <w:webHidden/>
              </w:rPr>
              <w:tab/>
            </w:r>
            <w:r>
              <w:rPr>
                <w:noProof/>
                <w:webHidden/>
              </w:rPr>
              <w:fldChar w:fldCharType="begin"/>
            </w:r>
            <w:r>
              <w:rPr>
                <w:noProof/>
                <w:webHidden/>
              </w:rPr>
              <w:instrText xml:space="preserve"> PAGEREF _Toc218504999 \h </w:instrText>
            </w:r>
            <w:r>
              <w:rPr>
                <w:noProof/>
                <w:webHidden/>
              </w:rPr>
            </w:r>
            <w:r>
              <w:rPr>
                <w:noProof/>
                <w:webHidden/>
              </w:rPr>
              <w:fldChar w:fldCharType="separate"/>
            </w:r>
            <w:r>
              <w:rPr>
                <w:noProof/>
                <w:webHidden/>
              </w:rPr>
              <w:t>2</w:t>
            </w:r>
            <w:r>
              <w:rPr>
                <w:noProof/>
                <w:webHidden/>
              </w:rPr>
              <w:fldChar w:fldCharType="end"/>
            </w:r>
          </w:hyperlink>
        </w:p>
        <w:p w14:paraId="2699924B" w14:textId="34273481" w:rsidR="008B6225" w:rsidRDefault="008B6225" w:rsidP="008B6225">
          <w:pPr>
            <w:pStyle w:val="TOC2"/>
            <w:tabs>
              <w:tab w:val="right" w:leader="dot" w:pos="8926"/>
            </w:tabs>
            <w:spacing w:line="216" w:lineRule="auto"/>
            <w:rPr>
              <w:noProof/>
              <w:kern w:val="2"/>
              <w:sz w:val="24"/>
              <w:szCs w:val="24"/>
              <w:lang w:val="lv-LV" w:eastAsia="lv-LV"/>
              <w14:ligatures w14:val="standardContextual"/>
            </w:rPr>
          </w:pPr>
          <w:hyperlink w:anchor="_Toc218505000" w:history="1">
            <w:r w:rsidRPr="005A331B">
              <w:rPr>
                <w:rStyle w:val="Hyperlink"/>
                <w:rFonts w:ascii="Times New Roman" w:eastAsia="Times New Roman" w:hAnsi="Times New Roman" w:cs="Times New Roman"/>
                <w:b/>
                <w:bCs/>
                <w:noProof/>
              </w:rPr>
              <w:t>1.1. Normatīvo dokumentu noteiktais regulējums</w:t>
            </w:r>
            <w:r>
              <w:rPr>
                <w:noProof/>
                <w:webHidden/>
              </w:rPr>
              <w:tab/>
            </w:r>
            <w:r>
              <w:rPr>
                <w:noProof/>
                <w:webHidden/>
              </w:rPr>
              <w:fldChar w:fldCharType="begin"/>
            </w:r>
            <w:r>
              <w:rPr>
                <w:noProof/>
                <w:webHidden/>
              </w:rPr>
              <w:instrText xml:space="preserve"> PAGEREF _Toc218505000 \h </w:instrText>
            </w:r>
            <w:r>
              <w:rPr>
                <w:noProof/>
                <w:webHidden/>
              </w:rPr>
            </w:r>
            <w:r>
              <w:rPr>
                <w:noProof/>
                <w:webHidden/>
              </w:rPr>
              <w:fldChar w:fldCharType="separate"/>
            </w:r>
            <w:r>
              <w:rPr>
                <w:noProof/>
                <w:webHidden/>
              </w:rPr>
              <w:t>2</w:t>
            </w:r>
            <w:r>
              <w:rPr>
                <w:noProof/>
                <w:webHidden/>
              </w:rPr>
              <w:fldChar w:fldCharType="end"/>
            </w:r>
          </w:hyperlink>
        </w:p>
        <w:p w14:paraId="6C8E13E5" w14:textId="6979FBDC"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01" w:history="1">
            <w:r w:rsidRPr="005A331B">
              <w:rPr>
                <w:rStyle w:val="Hyperlink"/>
                <w:rFonts w:ascii="Times New Roman" w:eastAsia="Times New Roman" w:hAnsi="Times New Roman" w:cs="Times New Roman"/>
                <w:b/>
                <w:bCs/>
                <w:noProof/>
              </w:rPr>
              <w:t>1.2.</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Mērķgrupas vajadzības</w:t>
            </w:r>
            <w:r>
              <w:rPr>
                <w:noProof/>
                <w:webHidden/>
              </w:rPr>
              <w:tab/>
            </w:r>
            <w:r>
              <w:rPr>
                <w:noProof/>
                <w:webHidden/>
              </w:rPr>
              <w:fldChar w:fldCharType="begin"/>
            </w:r>
            <w:r>
              <w:rPr>
                <w:noProof/>
                <w:webHidden/>
              </w:rPr>
              <w:instrText xml:space="preserve"> PAGEREF _Toc218505001 \h </w:instrText>
            </w:r>
            <w:r>
              <w:rPr>
                <w:noProof/>
                <w:webHidden/>
              </w:rPr>
            </w:r>
            <w:r>
              <w:rPr>
                <w:noProof/>
                <w:webHidden/>
              </w:rPr>
              <w:fldChar w:fldCharType="separate"/>
            </w:r>
            <w:r>
              <w:rPr>
                <w:noProof/>
                <w:webHidden/>
              </w:rPr>
              <w:t>3</w:t>
            </w:r>
            <w:r>
              <w:rPr>
                <w:noProof/>
                <w:webHidden/>
              </w:rPr>
              <w:fldChar w:fldCharType="end"/>
            </w:r>
          </w:hyperlink>
        </w:p>
        <w:p w14:paraId="219E316D" w14:textId="6D263C49"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02" w:history="1">
            <w:r w:rsidRPr="005A331B">
              <w:rPr>
                <w:rStyle w:val="Hyperlink"/>
                <w:rFonts w:ascii="Times New Roman" w:eastAsia="Times New Roman" w:hAnsi="Times New Roman" w:cs="Times New Roman"/>
                <w:b/>
                <w:bCs/>
                <w:noProof/>
              </w:rPr>
              <w:t>1.3.</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Nozares pārstāvju iesaiste</w:t>
            </w:r>
            <w:r>
              <w:rPr>
                <w:noProof/>
                <w:webHidden/>
              </w:rPr>
              <w:tab/>
            </w:r>
            <w:r>
              <w:rPr>
                <w:noProof/>
                <w:webHidden/>
              </w:rPr>
              <w:fldChar w:fldCharType="begin"/>
            </w:r>
            <w:r>
              <w:rPr>
                <w:noProof/>
                <w:webHidden/>
              </w:rPr>
              <w:instrText xml:space="preserve"> PAGEREF _Toc218505002 \h </w:instrText>
            </w:r>
            <w:r>
              <w:rPr>
                <w:noProof/>
                <w:webHidden/>
              </w:rPr>
            </w:r>
            <w:r>
              <w:rPr>
                <w:noProof/>
                <w:webHidden/>
              </w:rPr>
              <w:fldChar w:fldCharType="separate"/>
            </w:r>
            <w:r>
              <w:rPr>
                <w:noProof/>
                <w:webHidden/>
              </w:rPr>
              <w:t>4</w:t>
            </w:r>
            <w:r>
              <w:rPr>
                <w:noProof/>
                <w:webHidden/>
              </w:rPr>
              <w:fldChar w:fldCharType="end"/>
            </w:r>
          </w:hyperlink>
        </w:p>
        <w:p w14:paraId="4CDAF88A" w14:textId="2D090DCA"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03" w:history="1">
            <w:r w:rsidRPr="005A331B">
              <w:rPr>
                <w:rStyle w:val="Hyperlink"/>
                <w:rFonts w:ascii="Times New Roman" w:eastAsia="Times New Roman" w:hAnsi="Times New Roman" w:cs="Times New Roman"/>
                <w:b/>
                <w:bCs/>
                <w:noProof/>
              </w:rPr>
              <w:t>1.4.</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Programmas dalībnieku darba slodze</w:t>
            </w:r>
            <w:r>
              <w:rPr>
                <w:noProof/>
                <w:webHidden/>
              </w:rPr>
              <w:tab/>
            </w:r>
            <w:r>
              <w:rPr>
                <w:noProof/>
                <w:webHidden/>
              </w:rPr>
              <w:fldChar w:fldCharType="begin"/>
            </w:r>
            <w:r>
              <w:rPr>
                <w:noProof/>
                <w:webHidden/>
              </w:rPr>
              <w:instrText xml:space="preserve"> PAGEREF _Toc218505003 \h </w:instrText>
            </w:r>
            <w:r>
              <w:rPr>
                <w:noProof/>
                <w:webHidden/>
              </w:rPr>
            </w:r>
            <w:r>
              <w:rPr>
                <w:noProof/>
                <w:webHidden/>
              </w:rPr>
              <w:fldChar w:fldCharType="separate"/>
            </w:r>
            <w:r>
              <w:rPr>
                <w:noProof/>
                <w:webHidden/>
              </w:rPr>
              <w:t>6</w:t>
            </w:r>
            <w:r>
              <w:rPr>
                <w:noProof/>
                <w:webHidden/>
              </w:rPr>
              <w:fldChar w:fldCharType="end"/>
            </w:r>
          </w:hyperlink>
        </w:p>
        <w:p w14:paraId="077DAD17" w14:textId="1C6FE701"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04" w:history="1">
            <w:r w:rsidRPr="005A331B">
              <w:rPr>
                <w:rStyle w:val="Hyperlink"/>
                <w:rFonts w:ascii="Times New Roman" w:eastAsia="Times New Roman" w:hAnsi="Times New Roman" w:cs="Times New Roman"/>
                <w:b/>
                <w:bCs/>
                <w:noProof/>
              </w:rPr>
              <w:t>1.5.</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Programmas dizains</w:t>
            </w:r>
            <w:r>
              <w:rPr>
                <w:noProof/>
                <w:webHidden/>
              </w:rPr>
              <w:tab/>
            </w:r>
            <w:r>
              <w:rPr>
                <w:noProof/>
                <w:webHidden/>
              </w:rPr>
              <w:fldChar w:fldCharType="begin"/>
            </w:r>
            <w:r>
              <w:rPr>
                <w:noProof/>
                <w:webHidden/>
              </w:rPr>
              <w:instrText xml:space="preserve"> PAGEREF _Toc218505004 \h </w:instrText>
            </w:r>
            <w:r>
              <w:rPr>
                <w:noProof/>
                <w:webHidden/>
              </w:rPr>
            </w:r>
            <w:r>
              <w:rPr>
                <w:noProof/>
                <w:webHidden/>
              </w:rPr>
              <w:fldChar w:fldCharType="separate"/>
            </w:r>
            <w:r>
              <w:rPr>
                <w:noProof/>
                <w:webHidden/>
              </w:rPr>
              <w:t>7</w:t>
            </w:r>
            <w:r>
              <w:rPr>
                <w:noProof/>
                <w:webHidden/>
              </w:rPr>
              <w:fldChar w:fldCharType="end"/>
            </w:r>
          </w:hyperlink>
        </w:p>
        <w:p w14:paraId="7B65EE7E" w14:textId="2415DF84"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05" w:history="1">
            <w:r w:rsidRPr="005A331B">
              <w:rPr>
                <w:rStyle w:val="Hyperlink"/>
                <w:rFonts w:ascii="Times New Roman" w:eastAsia="Times New Roman" w:hAnsi="Times New Roman" w:cs="Times New Roman"/>
                <w:b/>
                <w:bCs/>
                <w:noProof/>
              </w:rPr>
              <w:t>1.6.</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Atbilstošs akadēmiskais personāls</w:t>
            </w:r>
            <w:r>
              <w:rPr>
                <w:noProof/>
                <w:webHidden/>
              </w:rPr>
              <w:tab/>
            </w:r>
            <w:r>
              <w:rPr>
                <w:noProof/>
                <w:webHidden/>
              </w:rPr>
              <w:fldChar w:fldCharType="begin"/>
            </w:r>
            <w:r>
              <w:rPr>
                <w:noProof/>
                <w:webHidden/>
              </w:rPr>
              <w:instrText xml:space="preserve"> PAGEREF _Toc218505005 \h </w:instrText>
            </w:r>
            <w:r>
              <w:rPr>
                <w:noProof/>
                <w:webHidden/>
              </w:rPr>
            </w:r>
            <w:r>
              <w:rPr>
                <w:noProof/>
                <w:webHidden/>
              </w:rPr>
              <w:fldChar w:fldCharType="separate"/>
            </w:r>
            <w:r>
              <w:rPr>
                <w:noProof/>
                <w:webHidden/>
              </w:rPr>
              <w:t>8</w:t>
            </w:r>
            <w:r>
              <w:rPr>
                <w:noProof/>
                <w:webHidden/>
              </w:rPr>
              <w:fldChar w:fldCharType="end"/>
            </w:r>
          </w:hyperlink>
        </w:p>
        <w:p w14:paraId="107B5F3F" w14:textId="28E05B40"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06" w:history="1">
            <w:r w:rsidRPr="005A331B">
              <w:rPr>
                <w:rStyle w:val="Hyperlink"/>
                <w:rFonts w:ascii="Times New Roman" w:eastAsia="Times New Roman" w:hAnsi="Times New Roman" w:cs="Times New Roman"/>
                <w:b/>
                <w:bCs/>
                <w:noProof/>
              </w:rPr>
              <w:t>1.7.</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Sasniedzamo mācību rezultātu formulēšana</w:t>
            </w:r>
            <w:r>
              <w:rPr>
                <w:noProof/>
                <w:webHidden/>
              </w:rPr>
              <w:tab/>
            </w:r>
            <w:r>
              <w:rPr>
                <w:noProof/>
                <w:webHidden/>
              </w:rPr>
              <w:fldChar w:fldCharType="begin"/>
            </w:r>
            <w:r>
              <w:rPr>
                <w:noProof/>
                <w:webHidden/>
              </w:rPr>
              <w:instrText xml:space="preserve"> PAGEREF _Toc218505006 \h </w:instrText>
            </w:r>
            <w:r>
              <w:rPr>
                <w:noProof/>
                <w:webHidden/>
              </w:rPr>
            </w:r>
            <w:r>
              <w:rPr>
                <w:noProof/>
                <w:webHidden/>
              </w:rPr>
              <w:fldChar w:fldCharType="separate"/>
            </w:r>
            <w:r>
              <w:rPr>
                <w:noProof/>
                <w:webHidden/>
              </w:rPr>
              <w:t>8</w:t>
            </w:r>
            <w:r>
              <w:rPr>
                <w:noProof/>
                <w:webHidden/>
              </w:rPr>
              <w:fldChar w:fldCharType="end"/>
            </w:r>
          </w:hyperlink>
        </w:p>
        <w:p w14:paraId="6801B6F2" w14:textId="6279FBE5"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07" w:history="1">
            <w:r w:rsidRPr="005A331B">
              <w:rPr>
                <w:rStyle w:val="Hyperlink"/>
                <w:rFonts w:ascii="Times New Roman" w:eastAsia="Times New Roman" w:hAnsi="Times New Roman" w:cs="Times New Roman"/>
                <w:b/>
                <w:bCs/>
                <w:noProof/>
              </w:rPr>
              <w:t>1.8.</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Mācību rezultātu novērtēšanas metodes</w:t>
            </w:r>
            <w:r>
              <w:rPr>
                <w:noProof/>
                <w:webHidden/>
              </w:rPr>
              <w:tab/>
            </w:r>
            <w:r>
              <w:rPr>
                <w:noProof/>
                <w:webHidden/>
              </w:rPr>
              <w:fldChar w:fldCharType="begin"/>
            </w:r>
            <w:r>
              <w:rPr>
                <w:noProof/>
                <w:webHidden/>
              </w:rPr>
              <w:instrText xml:space="preserve"> PAGEREF _Toc218505007 \h </w:instrText>
            </w:r>
            <w:r>
              <w:rPr>
                <w:noProof/>
                <w:webHidden/>
              </w:rPr>
            </w:r>
            <w:r>
              <w:rPr>
                <w:noProof/>
                <w:webHidden/>
              </w:rPr>
              <w:fldChar w:fldCharType="separate"/>
            </w:r>
            <w:r>
              <w:rPr>
                <w:noProof/>
                <w:webHidden/>
              </w:rPr>
              <w:t>8</w:t>
            </w:r>
            <w:r>
              <w:rPr>
                <w:noProof/>
                <w:webHidden/>
              </w:rPr>
              <w:fldChar w:fldCharType="end"/>
            </w:r>
          </w:hyperlink>
        </w:p>
        <w:p w14:paraId="24D4518F" w14:textId="22EC5C75" w:rsidR="008B6225" w:rsidRDefault="008B6225" w:rsidP="008B6225">
          <w:pPr>
            <w:pStyle w:val="TOC1"/>
            <w:tabs>
              <w:tab w:val="left" w:pos="480"/>
              <w:tab w:val="right" w:leader="dot" w:pos="8926"/>
            </w:tabs>
            <w:spacing w:line="216" w:lineRule="auto"/>
            <w:rPr>
              <w:noProof/>
              <w:kern w:val="2"/>
              <w:sz w:val="24"/>
              <w:szCs w:val="24"/>
              <w:lang w:val="lv-LV" w:eastAsia="lv-LV"/>
              <w14:ligatures w14:val="standardContextual"/>
            </w:rPr>
          </w:pPr>
          <w:hyperlink w:anchor="_Toc218505008" w:history="1">
            <w:r w:rsidRPr="005A331B">
              <w:rPr>
                <w:rStyle w:val="Hyperlink"/>
                <w:rFonts w:ascii="Times New Roman" w:eastAsia="Times New Roman" w:hAnsi="Times New Roman" w:cs="Times New Roman"/>
                <w:b/>
                <w:bCs/>
                <w:noProof/>
              </w:rPr>
              <w:t>2.</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Sagatavošana. Nepieciešamā dokumentācija</w:t>
            </w:r>
            <w:r>
              <w:rPr>
                <w:noProof/>
                <w:webHidden/>
              </w:rPr>
              <w:tab/>
            </w:r>
            <w:r>
              <w:rPr>
                <w:noProof/>
                <w:webHidden/>
              </w:rPr>
              <w:fldChar w:fldCharType="begin"/>
            </w:r>
            <w:r>
              <w:rPr>
                <w:noProof/>
                <w:webHidden/>
              </w:rPr>
              <w:instrText xml:space="preserve"> PAGEREF _Toc218505008 \h </w:instrText>
            </w:r>
            <w:r>
              <w:rPr>
                <w:noProof/>
                <w:webHidden/>
              </w:rPr>
            </w:r>
            <w:r>
              <w:rPr>
                <w:noProof/>
                <w:webHidden/>
              </w:rPr>
              <w:fldChar w:fldCharType="separate"/>
            </w:r>
            <w:r>
              <w:rPr>
                <w:noProof/>
                <w:webHidden/>
              </w:rPr>
              <w:t>9</w:t>
            </w:r>
            <w:r>
              <w:rPr>
                <w:noProof/>
                <w:webHidden/>
              </w:rPr>
              <w:fldChar w:fldCharType="end"/>
            </w:r>
          </w:hyperlink>
        </w:p>
        <w:p w14:paraId="0049A728" w14:textId="031986B8" w:rsidR="008B6225" w:rsidRDefault="008B6225" w:rsidP="008B6225">
          <w:pPr>
            <w:pStyle w:val="TOC2"/>
            <w:tabs>
              <w:tab w:val="right" w:leader="dot" w:pos="8926"/>
            </w:tabs>
            <w:spacing w:line="216" w:lineRule="auto"/>
            <w:rPr>
              <w:noProof/>
              <w:kern w:val="2"/>
              <w:sz w:val="24"/>
              <w:szCs w:val="24"/>
              <w:lang w:val="lv-LV" w:eastAsia="lv-LV"/>
              <w14:ligatures w14:val="standardContextual"/>
            </w:rPr>
          </w:pPr>
          <w:hyperlink w:anchor="_Toc218505009" w:history="1">
            <w:r w:rsidRPr="005A331B">
              <w:rPr>
                <w:rStyle w:val="Hyperlink"/>
                <w:rFonts w:ascii="Times New Roman" w:eastAsia="Times New Roman" w:hAnsi="Times New Roman" w:cs="Times New Roman"/>
                <w:b/>
                <w:bCs/>
                <w:noProof/>
              </w:rPr>
              <w:t>2.1. Programmas apraksts</w:t>
            </w:r>
            <w:r>
              <w:rPr>
                <w:noProof/>
                <w:webHidden/>
              </w:rPr>
              <w:tab/>
            </w:r>
            <w:r>
              <w:rPr>
                <w:noProof/>
                <w:webHidden/>
              </w:rPr>
              <w:fldChar w:fldCharType="begin"/>
            </w:r>
            <w:r>
              <w:rPr>
                <w:noProof/>
                <w:webHidden/>
              </w:rPr>
              <w:instrText xml:space="preserve"> PAGEREF _Toc218505009 \h </w:instrText>
            </w:r>
            <w:r>
              <w:rPr>
                <w:noProof/>
                <w:webHidden/>
              </w:rPr>
            </w:r>
            <w:r>
              <w:rPr>
                <w:noProof/>
                <w:webHidden/>
              </w:rPr>
              <w:fldChar w:fldCharType="separate"/>
            </w:r>
            <w:r>
              <w:rPr>
                <w:noProof/>
                <w:webHidden/>
              </w:rPr>
              <w:t>10</w:t>
            </w:r>
            <w:r>
              <w:rPr>
                <w:noProof/>
                <w:webHidden/>
              </w:rPr>
              <w:fldChar w:fldCharType="end"/>
            </w:r>
          </w:hyperlink>
        </w:p>
        <w:p w14:paraId="249E5298" w14:textId="349AF984"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10" w:history="1">
            <w:r w:rsidRPr="005A331B">
              <w:rPr>
                <w:rStyle w:val="Hyperlink"/>
                <w:rFonts w:ascii="Times New Roman" w:eastAsia="Times New Roman" w:hAnsi="Times New Roman" w:cs="Times New Roman"/>
                <w:b/>
                <w:bCs/>
                <w:noProof/>
              </w:rPr>
              <w:t>2.2.</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Programmas reģistrācija</w:t>
            </w:r>
            <w:r>
              <w:rPr>
                <w:noProof/>
                <w:webHidden/>
              </w:rPr>
              <w:tab/>
            </w:r>
            <w:r>
              <w:rPr>
                <w:noProof/>
                <w:webHidden/>
              </w:rPr>
              <w:fldChar w:fldCharType="begin"/>
            </w:r>
            <w:r>
              <w:rPr>
                <w:noProof/>
                <w:webHidden/>
              </w:rPr>
              <w:instrText xml:space="preserve"> PAGEREF _Toc218505010 \h </w:instrText>
            </w:r>
            <w:r>
              <w:rPr>
                <w:noProof/>
                <w:webHidden/>
              </w:rPr>
            </w:r>
            <w:r>
              <w:rPr>
                <w:noProof/>
                <w:webHidden/>
              </w:rPr>
              <w:fldChar w:fldCharType="separate"/>
            </w:r>
            <w:r>
              <w:rPr>
                <w:noProof/>
                <w:webHidden/>
              </w:rPr>
              <w:t>10</w:t>
            </w:r>
            <w:r>
              <w:rPr>
                <w:noProof/>
                <w:webHidden/>
              </w:rPr>
              <w:fldChar w:fldCharType="end"/>
            </w:r>
          </w:hyperlink>
        </w:p>
        <w:p w14:paraId="68D35960" w14:textId="4A6596DA" w:rsidR="008B6225" w:rsidRDefault="008B6225" w:rsidP="008B6225">
          <w:pPr>
            <w:pStyle w:val="TOC1"/>
            <w:tabs>
              <w:tab w:val="left" w:pos="480"/>
              <w:tab w:val="right" w:leader="dot" w:pos="8926"/>
            </w:tabs>
            <w:spacing w:line="216" w:lineRule="auto"/>
            <w:rPr>
              <w:noProof/>
              <w:kern w:val="2"/>
              <w:sz w:val="24"/>
              <w:szCs w:val="24"/>
              <w:lang w:val="lv-LV" w:eastAsia="lv-LV"/>
              <w14:ligatures w14:val="standardContextual"/>
            </w:rPr>
          </w:pPr>
          <w:hyperlink w:anchor="_Toc218505011" w:history="1">
            <w:r w:rsidRPr="005A331B">
              <w:rPr>
                <w:rStyle w:val="Hyperlink"/>
                <w:rFonts w:ascii="Times New Roman" w:eastAsia="Times New Roman" w:hAnsi="Times New Roman" w:cs="Times New Roman"/>
                <w:b/>
                <w:bCs/>
                <w:noProof/>
              </w:rPr>
              <w:t>3.</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Programmas norise</w:t>
            </w:r>
            <w:r>
              <w:rPr>
                <w:noProof/>
                <w:webHidden/>
              </w:rPr>
              <w:tab/>
            </w:r>
            <w:r>
              <w:rPr>
                <w:noProof/>
                <w:webHidden/>
              </w:rPr>
              <w:fldChar w:fldCharType="begin"/>
            </w:r>
            <w:r>
              <w:rPr>
                <w:noProof/>
                <w:webHidden/>
              </w:rPr>
              <w:instrText xml:space="preserve"> PAGEREF _Toc218505011 \h </w:instrText>
            </w:r>
            <w:r>
              <w:rPr>
                <w:noProof/>
                <w:webHidden/>
              </w:rPr>
            </w:r>
            <w:r>
              <w:rPr>
                <w:noProof/>
                <w:webHidden/>
              </w:rPr>
              <w:fldChar w:fldCharType="separate"/>
            </w:r>
            <w:r>
              <w:rPr>
                <w:noProof/>
                <w:webHidden/>
              </w:rPr>
              <w:t>11</w:t>
            </w:r>
            <w:r>
              <w:rPr>
                <w:noProof/>
                <w:webHidden/>
              </w:rPr>
              <w:fldChar w:fldCharType="end"/>
            </w:r>
          </w:hyperlink>
        </w:p>
        <w:p w14:paraId="0F189D08" w14:textId="0FA56425" w:rsidR="008B6225" w:rsidRDefault="008B6225" w:rsidP="008B6225">
          <w:pPr>
            <w:pStyle w:val="TOC2"/>
            <w:tabs>
              <w:tab w:val="right" w:leader="dot" w:pos="8926"/>
            </w:tabs>
            <w:spacing w:line="216" w:lineRule="auto"/>
            <w:rPr>
              <w:noProof/>
              <w:kern w:val="2"/>
              <w:sz w:val="24"/>
              <w:szCs w:val="24"/>
              <w:lang w:val="lv-LV" w:eastAsia="lv-LV"/>
              <w14:ligatures w14:val="standardContextual"/>
            </w:rPr>
          </w:pPr>
          <w:hyperlink w:anchor="_Toc218505012" w:history="1">
            <w:r w:rsidRPr="005A331B">
              <w:rPr>
                <w:rStyle w:val="Hyperlink"/>
                <w:rFonts w:ascii="Times New Roman" w:eastAsia="Times New Roman" w:hAnsi="Times New Roman" w:cs="Times New Roman"/>
                <w:b/>
                <w:bCs/>
                <w:noProof/>
              </w:rPr>
              <w:t>3.1. Dalībnieku pieteikumu saņemšana un izvērtēšana</w:t>
            </w:r>
            <w:r>
              <w:rPr>
                <w:noProof/>
                <w:webHidden/>
              </w:rPr>
              <w:tab/>
            </w:r>
            <w:r>
              <w:rPr>
                <w:noProof/>
                <w:webHidden/>
              </w:rPr>
              <w:fldChar w:fldCharType="begin"/>
            </w:r>
            <w:r>
              <w:rPr>
                <w:noProof/>
                <w:webHidden/>
              </w:rPr>
              <w:instrText xml:space="preserve"> PAGEREF _Toc218505012 \h </w:instrText>
            </w:r>
            <w:r>
              <w:rPr>
                <w:noProof/>
                <w:webHidden/>
              </w:rPr>
            </w:r>
            <w:r>
              <w:rPr>
                <w:noProof/>
                <w:webHidden/>
              </w:rPr>
              <w:fldChar w:fldCharType="separate"/>
            </w:r>
            <w:r>
              <w:rPr>
                <w:noProof/>
                <w:webHidden/>
              </w:rPr>
              <w:t>11</w:t>
            </w:r>
            <w:r>
              <w:rPr>
                <w:noProof/>
                <w:webHidden/>
              </w:rPr>
              <w:fldChar w:fldCharType="end"/>
            </w:r>
          </w:hyperlink>
        </w:p>
        <w:p w14:paraId="3E4CF7A0" w14:textId="24A2FF55"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13" w:history="1">
            <w:r w:rsidRPr="005A331B">
              <w:rPr>
                <w:rStyle w:val="Hyperlink"/>
                <w:rFonts w:ascii="Times New Roman" w:eastAsia="Times New Roman" w:hAnsi="Times New Roman" w:cs="Times New Roman"/>
                <w:b/>
                <w:bCs/>
                <w:noProof/>
              </w:rPr>
              <w:t>3.2.</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Programmas īstenošana</w:t>
            </w:r>
            <w:r>
              <w:rPr>
                <w:noProof/>
                <w:webHidden/>
              </w:rPr>
              <w:tab/>
            </w:r>
            <w:r>
              <w:rPr>
                <w:noProof/>
                <w:webHidden/>
              </w:rPr>
              <w:fldChar w:fldCharType="begin"/>
            </w:r>
            <w:r>
              <w:rPr>
                <w:noProof/>
                <w:webHidden/>
              </w:rPr>
              <w:instrText xml:space="preserve"> PAGEREF _Toc218505013 \h </w:instrText>
            </w:r>
            <w:r>
              <w:rPr>
                <w:noProof/>
                <w:webHidden/>
              </w:rPr>
            </w:r>
            <w:r>
              <w:rPr>
                <w:noProof/>
                <w:webHidden/>
              </w:rPr>
              <w:fldChar w:fldCharType="separate"/>
            </w:r>
            <w:r>
              <w:rPr>
                <w:noProof/>
                <w:webHidden/>
              </w:rPr>
              <w:t>11</w:t>
            </w:r>
            <w:r>
              <w:rPr>
                <w:noProof/>
                <w:webHidden/>
              </w:rPr>
              <w:fldChar w:fldCharType="end"/>
            </w:r>
          </w:hyperlink>
        </w:p>
        <w:p w14:paraId="29C4860D" w14:textId="1651EEEE"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14" w:history="1">
            <w:r w:rsidRPr="005A331B">
              <w:rPr>
                <w:rStyle w:val="Hyperlink"/>
                <w:rFonts w:ascii="Times New Roman" w:eastAsia="Times New Roman" w:hAnsi="Times New Roman" w:cs="Times New Roman"/>
                <w:b/>
                <w:bCs/>
                <w:noProof/>
              </w:rPr>
              <w:t>3.3.</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Prasību izpilde un mācību rezultātu vērtēšana</w:t>
            </w:r>
            <w:r>
              <w:rPr>
                <w:noProof/>
                <w:webHidden/>
              </w:rPr>
              <w:tab/>
            </w:r>
            <w:r>
              <w:rPr>
                <w:noProof/>
                <w:webHidden/>
              </w:rPr>
              <w:fldChar w:fldCharType="begin"/>
            </w:r>
            <w:r>
              <w:rPr>
                <w:noProof/>
                <w:webHidden/>
              </w:rPr>
              <w:instrText xml:space="preserve"> PAGEREF _Toc218505014 \h </w:instrText>
            </w:r>
            <w:r>
              <w:rPr>
                <w:noProof/>
                <w:webHidden/>
              </w:rPr>
            </w:r>
            <w:r>
              <w:rPr>
                <w:noProof/>
                <w:webHidden/>
              </w:rPr>
              <w:fldChar w:fldCharType="separate"/>
            </w:r>
            <w:r>
              <w:rPr>
                <w:noProof/>
                <w:webHidden/>
              </w:rPr>
              <w:t>11</w:t>
            </w:r>
            <w:r>
              <w:rPr>
                <w:noProof/>
                <w:webHidden/>
              </w:rPr>
              <w:fldChar w:fldCharType="end"/>
            </w:r>
          </w:hyperlink>
        </w:p>
        <w:p w14:paraId="73575ACA" w14:textId="40A2B874"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15" w:history="1">
            <w:r w:rsidRPr="005A331B">
              <w:rPr>
                <w:rStyle w:val="Hyperlink"/>
                <w:rFonts w:ascii="Times New Roman" w:eastAsia="Times New Roman" w:hAnsi="Times New Roman" w:cs="Times New Roman"/>
                <w:b/>
                <w:bCs/>
                <w:noProof/>
              </w:rPr>
              <w:t>3.4.</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Programmas noslēgums un mācību rezultātu atzīšanas iespējas</w:t>
            </w:r>
            <w:r>
              <w:rPr>
                <w:noProof/>
                <w:webHidden/>
              </w:rPr>
              <w:tab/>
            </w:r>
            <w:r>
              <w:rPr>
                <w:noProof/>
                <w:webHidden/>
              </w:rPr>
              <w:fldChar w:fldCharType="begin"/>
            </w:r>
            <w:r>
              <w:rPr>
                <w:noProof/>
                <w:webHidden/>
              </w:rPr>
              <w:instrText xml:space="preserve"> PAGEREF _Toc218505015 \h </w:instrText>
            </w:r>
            <w:r>
              <w:rPr>
                <w:noProof/>
                <w:webHidden/>
              </w:rPr>
            </w:r>
            <w:r>
              <w:rPr>
                <w:noProof/>
                <w:webHidden/>
              </w:rPr>
              <w:fldChar w:fldCharType="separate"/>
            </w:r>
            <w:r>
              <w:rPr>
                <w:noProof/>
                <w:webHidden/>
              </w:rPr>
              <w:t>12</w:t>
            </w:r>
            <w:r>
              <w:rPr>
                <w:noProof/>
                <w:webHidden/>
              </w:rPr>
              <w:fldChar w:fldCharType="end"/>
            </w:r>
          </w:hyperlink>
        </w:p>
        <w:p w14:paraId="7942EED1" w14:textId="18EC93FE" w:rsidR="008B6225" w:rsidRDefault="008B6225" w:rsidP="008B6225">
          <w:pPr>
            <w:pStyle w:val="TOC1"/>
            <w:tabs>
              <w:tab w:val="left" w:pos="480"/>
              <w:tab w:val="right" w:leader="dot" w:pos="8926"/>
            </w:tabs>
            <w:spacing w:line="216" w:lineRule="auto"/>
            <w:rPr>
              <w:noProof/>
              <w:kern w:val="2"/>
              <w:sz w:val="24"/>
              <w:szCs w:val="24"/>
              <w:lang w:val="lv-LV" w:eastAsia="lv-LV"/>
              <w14:ligatures w14:val="standardContextual"/>
            </w:rPr>
          </w:pPr>
          <w:hyperlink w:anchor="_Toc218505016" w:history="1">
            <w:r w:rsidRPr="005A331B">
              <w:rPr>
                <w:rStyle w:val="Hyperlink"/>
                <w:rFonts w:ascii="Times New Roman" w:eastAsia="Times New Roman" w:hAnsi="Times New Roman" w:cs="Times New Roman"/>
                <w:b/>
                <w:bCs/>
                <w:noProof/>
              </w:rPr>
              <w:t>4.</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Digitālās uzkrāšanas iespējas</w:t>
            </w:r>
            <w:r>
              <w:rPr>
                <w:noProof/>
                <w:webHidden/>
              </w:rPr>
              <w:tab/>
            </w:r>
            <w:r>
              <w:rPr>
                <w:noProof/>
                <w:webHidden/>
              </w:rPr>
              <w:fldChar w:fldCharType="begin"/>
            </w:r>
            <w:r>
              <w:rPr>
                <w:noProof/>
                <w:webHidden/>
              </w:rPr>
              <w:instrText xml:space="preserve"> PAGEREF _Toc218505016 \h </w:instrText>
            </w:r>
            <w:r>
              <w:rPr>
                <w:noProof/>
                <w:webHidden/>
              </w:rPr>
            </w:r>
            <w:r>
              <w:rPr>
                <w:noProof/>
                <w:webHidden/>
              </w:rPr>
              <w:fldChar w:fldCharType="separate"/>
            </w:r>
            <w:r>
              <w:rPr>
                <w:noProof/>
                <w:webHidden/>
              </w:rPr>
              <w:t>12</w:t>
            </w:r>
            <w:r>
              <w:rPr>
                <w:noProof/>
                <w:webHidden/>
              </w:rPr>
              <w:fldChar w:fldCharType="end"/>
            </w:r>
          </w:hyperlink>
        </w:p>
        <w:p w14:paraId="17D0B673" w14:textId="6CECB841" w:rsidR="008B6225" w:rsidRDefault="008B6225" w:rsidP="008B6225">
          <w:pPr>
            <w:pStyle w:val="TOC1"/>
            <w:tabs>
              <w:tab w:val="left" w:pos="480"/>
              <w:tab w:val="right" w:leader="dot" w:pos="8926"/>
            </w:tabs>
            <w:spacing w:line="216" w:lineRule="auto"/>
            <w:rPr>
              <w:noProof/>
              <w:kern w:val="2"/>
              <w:sz w:val="24"/>
              <w:szCs w:val="24"/>
              <w:lang w:val="lv-LV" w:eastAsia="lv-LV"/>
              <w14:ligatures w14:val="standardContextual"/>
            </w:rPr>
          </w:pPr>
          <w:hyperlink w:anchor="_Toc218505017" w:history="1">
            <w:r w:rsidRPr="005A331B">
              <w:rPr>
                <w:rStyle w:val="Hyperlink"/>
                <w:rFonts w:ascii="Times New Roman" w:eastAsia="Times New Roman" w:hAnsi="Times New Roman" w:cs="Times New Roman"/>
                <w:b/>
                <w:bCs/>
                <w:noProof/>
              </w:rPr>
              <w:t>5.</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Kvalitātes nodrošināšanas procedūras</w:t>
            </w:r>
            <w:r>
              <w:rPr>
                <w:noProof/>
                <w:webHidden/>
              </w:rPr>
              <w:tab/>
            </w:r>
            <w:r>
              <w:rPr>
                <w:noProof/>
                <w:webHidden/>
              </w:rPr>
              <w:fldChar w:fldCharType="begin"/>
            </w:r>
            <w:r>
              <w:rPr>
                <w:noProof/>
                <w:webHidden/>
              </w:rPr>
              <w:instrText xml:space="preserve"> PAGEREF _Toc218505017 \h </w:instrText>
            </w:r>
            <w:r>
              <w:rPr>
                <w:noProof/>
                <w:webHidden/>
              </w:rPr>
            </w:r>
            <w:r>
              <w:rPr>
                <w:noProof/>
                <w:webHidden/>
              </w:rPr>
              <w:fldChar w:fldCharType="separate"/>
            </w:r>
            <w:r>
              <w:rPr>
                <w:noProof/>
                <w:webHidden/>
              </w:rPr>
              <w:t>13</w:t>
            </w:r>
            <w:r>
              <w:rPr>
                <w:noProof/>
                <w:webHidden/>
              </w:rPr>
              <w:fldChar w:fldCharType="end"/>
            </w:r>
          </w:hyperlink>
        </w:p>
        <w:p w14:paraId="3CF40A42" w14:textId="6450E353" w:rsidR="008B6225" w:rsidRDefault="008B6225" w:rsidP="008B6225">
          <w:pPr>
            <w:pStyle w:val="TOC2"/>
            <w:tabs>
              <w:tab w:val="right" w:leader="dot" w:pos="8926"/>
            </w:tabs>
            <w:spacing w:line="216" w:lineRule="auto"/>
            <w:rPr>
              <w:noProof/>
              <w:kern w:val="2"/>
              <w:sz w:val="24"/>
              <w:szCs w:val="24"/>
              <w:lang w:val="lv-LV" w:eastAsia="lv-LV"/>
              <w14:ligatures w14:val="standardContextual"/>
            </w:rPr>
          </w:pPr>
          <w:hyperlink w:anchor="_Toc218505018" w:history="1">
            <w:r w:rsidRPr="005A331B">
              <w:rPr>
                <w:rStyle w:val="Hyperlink"/>
                <w:rFonts w:ascii="Times New Roman" w:eastAsia="Times New Roman" w:hAnsi="Times New Roman" w:cs="Times New Roman"/>
                <w:b/>
                <w:bCs/>
                <w:noProof/>
              </w:rPr>
              <w:t>5.1. Iekšējās kvalitātes pamatprasības</w:t>
            </w:r>
            <w:r>
              <w:rPr>
                <w:noProof/>
                <w:webHidden/>
              </w:rPr>
              <w:tab/>
            </w:r>
            <w:r>
              <w:rPr>
                <w:noProof/>
                <w:webHidden/>
              </w:rPr>
              <w:fldChar w:fldCharType="begin"/>
            </w:r>
            <w:r>
              <w:rPr>
                <w:noProof/>
                <w:webHidden/>
              </w:rPr>
              <w:instrText xml:space="preserve"> PAGEREF _Toc218505018 \h </w:instrText>
            </w:r>
            <w:r>
              <w:rPr>
                <w:noProof/>
                <w:webHidden/>
              </w:rPr>
            </w:r>
            <w:r>
              <w:rPr>
                <w:noProof/>
                <w:webHidden/>
              </w:rPr>
              <w:fldChar w:fldCharType="separate"/>
            </w:r>
            <w:r>
              <w:rPr>
                <w:noProof/>
                <w:webHidden/>
              </w:rPr>
              <w:t>13</w:t>
            </w:r>
            <w:r>
              <w:rPr>
                <w:noProof/>
                <w:webHidden/>
              </w:rPr>
              <w:fldChar w:fldCharType="end"/>
            </w:r>
          </w:hyperlink>
        </w:p>
        <w:p w14:paraId="793A4D74" w14:textId="0D4BB6B3"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19" w:history="1">
            <w:r w:rsidRPr="005A331B">
              <w:rPr>
                <w:rStyle w:val="Hyperlink"/>
                <w:rFonts w:ascii="Times New Roman" w:eastAsia="Times New Roman" w:hAnsi="Times New Roman" w:cs="Times New Roman"/>
                <w:b/>
                <w:bCs/>
                <w:noProof/>
              </w:rPr>
              <w:t>5.2.</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Informācijas pieejamība</w:t>
            </w:r>
            <w:r>
              <w:rPr>
                <w:noProof/>
                <w:webHidden/>
              </w:rPr>
              <w:tab/>
            </w:r>
            <w:r>
              <w:rPr>
                <w:noProof/>
                <w:webHidden/>
              </w:rPr>
              <w:fldChar w:fldCharType="begin"/>
            </w:r>
            <w:r>
              <w:rPr>
                <w:noProof/>
                <w:webHidden/>
              </w:rPr>
              <w:instrText xml:space="preserve"> PAGEREF _Toc218505019 \h </w:instrText>
            </w:r>
            <w:r>
              <w:rPr>
                <w:noProof/>
                <w:webHidden/>
              </w:rPr>
            </w:r>
            <w:r>
              <w:rPr>
                <w:noProof/>
                <w:webHidden/>
              </w:rPr>
              <w:fldChar w:fldCharType="separate"/>
            </w:r>
            <w:r>
              <w:rPr>
                <w:noProof/>
                <w:webHidden/>
              </w:rPr>
              <w:t>15</w:t>
            </w:r>
            <w:r>
              <w:rPr>
                <w:noProof/>
                <w:webHidden/>
              </w:rPr>
              <w:fldChar w:fldCharType="end"/>
            </w:r>
          </w:hyperlink>
        </w:p>
        <w:p w14:paraId="4CBA6648" w14:textId="7421B233"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20" w:history="1">
            <w:r w:rsidRPr="005A331B">
              <w:rPr>
                <w:rStyle w:val="Hyperlink"/>
                <w:rFonts w:ascii="Times New Roman" w:eastAsia="Times New Roman" w:hAnsi="Times New Roman" w:cs="Times New Roman"/>
                <w:b/>
                <w:bCs/>
                <w:noProof/>
              </w:rPr>
              <w:t>5.3.</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Atgriezeniskā saite no visām iesaistītajām pusēm</w:t>
            </w:r>
            <w:r>
              <w:rPr>
                <w:noProof/>
                <w:webHidden/>
              </w:rPr>
              <w:tab/>
            </w:r>
            <w:r>
              <w:rPr>
                <w:noProof/>
                <w:webHidden/>
              </w:rPr>
              <w:fldChar w:fldCharType="begin"/>
            </w:r>
            <w:r>
              <w:rPr>
                <w:noProof/>
                <w:webHidden/>
              </w:rPr>
              <w:instrText xml:space="preserve"> PAGEREF _Toc218505020 \h </w:instrText>
            </w:r>
            <w:r>
              <w:rPr>
                <w:noProof/>
                <w:webHidden/>
              </w:rPr>
            </w:r>
            <w:r>
              <w:rPr>
                <w:noProof/>
                <w:webHidden/>
              </w:rPr>
              <w:fldChar w:fldCharType="separate"/>
            </w:r>
            <w:r>
              <w:rPr>
                <w:noProof/>
                <w:webHidden/>
              </w:rPr>
              <w:t>15</w:t>
            </w:r>
            <w:r>
              <w:rPr>
                <w:noProof/>
                <w:webHidden/>
              </w:rPr>
              <w:fldChar w:fldCharType="end"/>
            </w:r>
          </w:hyperlink>
        </w:p>
        <w:p w14:paraId="25F2BDD6" w14:textId="5CD6E529" w:rsidR="008B6225" w:rsidRDefault="008B6225" w:rsidP="008B6225">
          <w:pPr>
            <w:pStyle w:val="TOC2"/>
            <w:tabs>
              <w:tab w:val="left" w:pos="960"/>
              <w:tab w:val="right" w:leader="dot" w:pos="8926"/>
            </w:tabs>
            <w:spacing w:line="216" w:lineRule="auto"/>
            <w:rPr>
              <w:noProof/>
              <w:kern w:val="2"/>
              <w:sz w:val="24"/>
              <w:szCs w:val="24"/>
              <w:lang w:val="lv-LV" w:eastAsia="lv-LV"/>
              <w14:ligatures w14:val="standardContextual"/>
            </w:rPr>
          </w:pPr>
          <w:hyperlink w:anchor="_Toc218505021" w:history="1">
            <w:r w:rsidRPr="005A331B">
              <w:rPr>
                <w:rStyle w:val="Hyperlink"/>
                <w:rFonts w:ascii="Times New Roman" w:eastAsia="Times New Roman" w:hAnsi="Times New Roman" w:cs="Times New Roman"/>
                <w:b/>
                <w:bCs/>
                <w:noProof/>
              </w:rPr>
              <w:t>5.4.</w:t>
            </w:r>
            <w:r>
              <w:rPr>
                <w:noProof/>
                <w:kern w:val="2"/>
                <w:sz w:val="24"/>
                <w:szCs w:val="24"/>
                <w:lang w:val="lv-LV" w:eastAsia="lv-LV"/>
                <w14:ligatures w14:val="standardContextual"/>
              </w:rPr>
              <w:tab/>
            </w:r>
            <w:r w:rsidRPr="005A331B">
              <w:rPr>
                <w:rStyle w:val="Hyperlink"/>
                <w:rFonts w:ascii="Times New Roman" w:eastAsia="Times New Roman" w:hAnsi="Times New Roman" w:cs="Times New Roman"/>
                <w:b/>
                <w:bCs/>
                <w:noProof/>
              </w:rPr>
              <w:t>Atgriezeniskās saites sniegto datu pielietojums</w:t>
            </w:r>
            <w:r>
              <w:rPr>
                <w:noProof/>
                <w:webHidden/>
              </w:rPr>
              <w:tab/>
            </w:r>
            <w:r>
              <w:rPr>
                <w:noProof/>
                <w:webHidden/>
              </w:rPr>
              <w:fldChar w:fldCharType="begin"/>
            </w:r>
            <w:r>
              <w:rPr>
                <w:noProof/>
                <w:webHidden/>
              </w:rPr>
              <w:instrText xml:space="preserve"> PAGEREF _Toc218505021 \h </w:instrText>
            </w:r>
            <w:r>
              <w:rPr>
                <w:noProof/>
                <w:webHidden/>
              </w:rPr>
            </w:r>
            <w:r>
              <w:rPr>
                <w:noProof/>
                <w:webHidden/>
              </w:rPr>
              <w:fldChar w:fldCharType="separate"/>
            </w:r>
            <w:r>
              <w:rPr>
                <w:noProof/>
                <w:webHidden/>
              </w:rPr>
              <w:t>16</w:t>
            </w:r>
            <w:r>
              <w:rPr>
                <w:noProof/>
                <w:webHidden/>
              </w:rPr>
              <w:fldChar w:fldCharType="end"/>
            </w:r>
          </w:hyperlink>
        </w:p>
        <w:p w14:paraId="6C6980DF" w14:textId="2E1FFC56" w:rsidR="008B6225" w:rsidRDefault="008B6225" w:rsidP="008B6225">
          <w:pPr>
            <w:pStyle w:val="TOC1"/>
            <w:tabs>
              <w:tab w:val="right" w:leader="dot" w:pos="8926"/>
            </w:tabs>
            <w:spacing w:line="216" w:lineRule="auto"/>
            <w:rPr>
              <w:noProof/>
              <w:kern w:val="2"/>
              <w:sz w:val="24"/>
              <w:szCs w:val="24"/>
              <w:lang w:val="lv-LV" w:eastAsia="lv-LV"/>
              <w14:ligatures w14:val="standardContextual"/>
            </w:rPr>
          </w:pPr>
          <w:hyperlink w:anchor="_Toc218505022" w:history="1">
            <w:r w:rsidRPr="005A331B">
              <w:rPr>
                <w:rStyle w:val="Hyperlink"/>
                <w:rFonts w:ascii="Times New Roman" w:hAnsi="Times New Roman" w:cs="Times New Roman"/>
                <w:b/>
                <w:bCs/>
                <w:noProof/>
              </w:rPr>
              <w:t>Pielikumi</w:t>
            </w:r>
            <w:r>
              <w:rPr>
                <w:noProof/>
                <w:webHidden/>
              </w:rPr>
              <w:tab/>
            </w:r>
            <w:r>
              <w:rPr>
                <w:noProof/>
                <w:webHidden/>
              </w:rPr>
              <w:fldChar w:fldCharType="begin"/>
            </w:r>
            <w:r>
              <w:rPr>
                <w:noProof/>
                <w:webHidden/>
              </w:rPr>
              <w:instrText xml:space="preserve"> PAGEREF _Toc218505022 \h </w:instrText>
            </w:r>
            <w:r>
              <w:rPr>
                <w:noProof/>
                <w:webHidden/>
              </w:rPr>
            </w:r>
            <w:r>
              <w:rPr>
                <w:noProof/>
                <w:webHidden/>
              </w:rPr>
              <w:fldChar w:fldCharType="separate"/>
            </w:r>
            <w:r>
              <w:rPr>
                <w:noProof/>
                <w:webHidden/>
              </w:rPr>
              <w:t>18</w:t>
            </w:r>
            <w:r>
              <w:rPr>
                <w:noProof/>
                <w:webHidden/>
              </w:rPr>
              <w:fldChar w:fldCharType="end"/>
            </w:r>
          </w:hyperlink>
        </w:p>
        <w:p w14:paraId="2681EBD1" w14:textId="196A8CCD" w:rsidR="008B6225" w:rsidRDefault="008B6225" w:rsidP="008B6225">
          <w:pPr>
            <w:pStyle w:val="TOC2"/>
            <w:tabs>
              <w:tab w:val="right" w:leader="dot" w:pos="8926"/>
            </w:tabs>
            <w:spacing w:after="0" w:line="216" w:lineRule="auto"/>
            <w:ind w:left="221"/>
            <w:rPr>
              <w:noProof/>
              <w:kern w:val="2"/>
              <w:sz w:val="24"/>
              <w:szCs w:val="24"/>
              <w:lang w:val="lv-LV" w:eastAsia="lv-LV"/>
              <w14:ligatures w14:val="standardContextual"/>
            </w:rPr>
          </w:pPr>
          <w:hyperlink w:anchor="_Toc218505023" w:history="1">
            <w:r w:rsidRPr="005A331B">
              <w:rPr>
                <w:rStyle w:val="Hyperlink"/>
                <w:rFonts w:ascii="Times New Roman" w:hAnsi="Times New Roman" w:cs="Times New Roman"/>
                <w:b/>
                <w:bCs/>
                <w:noProof/>
              </w:rPr>
              <w:t>Pielikums 1. PPP novērtējuma anketa</w:t>
            </w:r>
            <w:r>
              <w:rPr>
                <w:noProof/>
                <w:webHidden/>
              </w:rPr>
              <w:tab/>
            </w:r>
            <w:r>
              <w:rPr>
                <w:noProof/>
                <w:webHidden/>
              </w:rPr>
              <w:fldChar w:fldCharType="begin"/>
            </w:r>
            <w:r>
              <w:rPr>
                <w:noProof/>
                <w:webHidden/>
              </w:rPr>
              <w:instrText xml:space="preserve"> PAGEREF _Toc218505023 \h </w:instrText>
            </w:r>
            <w:r>
              <w:rPr>
                <w:noProof/>
                <w:webHidden/>
              </w:rPr>
            </w:r>
            <w:r>
              <w:rPr>
                <w:noProof/>
                <w:webHidden/>
              </w:rPr>
              <w:fldChar w:fldCharType="separate"/>
            </w:r>
            <w:r>
              <w:rPr>
                <w:noProof/>
                <w:webHidden/>
              </w:rPr>
              <w:t>18</w:t>
            </w:r>
            <w:r>
              <w:rPr>
                <w:noProof/>
                <w:webHidden/>
              </w:rPr>
              <w:fldChar w:fldCharType="end"/>
            </w:r>
          </w:hyperlink>
        </w:p>
        <w:p w14:paraId="61406DB1" w14:textId="7F6C94F8" w:rsidR="008B6225" w:rsidRDefault="008B6225" w:rsidP="008B6225">
          <w:pPr>
            <w:pStyle w:val="TOC2"/>
            <w:tabs>
              <w:tab w:val="right" w:leader="dot" w:pos="8926"/>
            </w:tabs>
            <w:spacing w:line="216" w:lineRule="auto"/>
            <w:rPr>
              <w:noProof/>
              <w:kern w:val="2"/>
              <w:sz w:val="24"/>
              <w:szCs w:val="24"/>
              <w:lang w:val="lv-LV" w:eastAsia="lv-LV"/>
              <w14:ligatures w14:val="standardContextual"/>
            </w:rPr>
          </w:pPr>
          <w:hyperlink w:anchor="_Toc218505024" w:history="1">
            <w:r w:rsidRPr="005A331B">
              <w:rPr>
                <w:rStyle w:val="Hyperlink"/>
                <w:rFonts w:ascii="Times New Roman" w:hAnsi="Times New Roman" w:cs="Times New Roman"/>
                <w:b/>
                <w:bCs/>
                <w:noProof/>
              </w:rPr>
              <w:t>Pielikums 2. PPP apliecības pielikums</w:t>
            </w:r>
            <w:r>
              <w:rPr>
                <w:noProof/>
                <w:webHidden/>
              </w:rPr>
              <w:tab/>
            </w:r>
            <w:r>
              <w:rPr>
                <w:noProof/>
                <w:webHidden/>
              </w:rPr>
              <w:fldChar w:fldCharType="begin"/>
            </w:r>
            <w:r>
              <w:rPr>
                <w:noProof/>
                <w:webHidden/>
              </w:rPr>
              <w:instrText xml:space="preserve"> PAGEREF _Toc218505024 \h </w:instrText>
            </w:r>
            <w:r>
              <w:rPr>
                <w:noProof/>
                <w:webHidden/>
              </w:rPr>
            </w:r>
            <w:r>
              <w:rPr>
                <w:noProof/>
                <w:webHidden/>
              </w:rPr>
              <w:fldChar w:fldCharType="separate"/>
            </w:r>
            <w:r>
              <w:rPr>
                <w:noProof/>
                <w:webHidden/>
              </w:rPr>
              <w:t>20</w:t>
            </w:r>
            <w:r>
              <w:rPr>
                <w:noProof/>
                <w:webHidden/>
              </w:rPr>
              <w:fldChar w:fldCharType="end"/>
            </w:r>
          </w:hyperlink>
        </w:p>
        <w:p w14:paraId="558DA06B" w14:textId="7FBD050D" w:rsidR="00C03082" w:rsidRDefault="00C03082" w:rsidP="008B6225">
          <w:pPr>
            <w:spacing w:after="0" w:line="216" w:lineRule="auto"/>
          </w:pPr>
          <w:r w:rsidRPr="00C03082">
            <w:rPr>
              <w:rFonts w:ascii="Times New Roman" w:hAnsi="Times New Roman" w:cs="Times New Roman"/>
              <w:noProof/>
            </w:rPr>
            <w:fldChar w:fldCharType="end"/>
          </w:r>
        </w:p>
      </w:sdtContent>
    </w:sdt>
    <w:p w14:paraId="6B8E7BCB" w14:textId="77777777" w:rsidR="00C03082" w:rsidRPr="007735EB" w:rsidRDefault="00C03082" w:rsidP="007735EB">
      <w:pPr>
        <w:spacing w:before="120" w:after="120"/>
        <w:rPr>
          <w:rFonts w:ascii="Times New Roman" w:eastAsia="Times New Roman" w:hAnsi="Times New Roman" w:cs="Times New Roman"/>
          <w:color w:val="000000" w:themeColor="text1"/>
          <w:sz w:val="24"/>
          <w:szCs w:val="24"/>
        </w:rPr>
      </w:pPr>
    </w:p>
    <w:p w14:paraId="5D8A2891" w14:textId="77777777" w:rsidR="00AB05AE" w:rsidRPr="007735EB" w:rsidRDefault="004B7ED8" w:rsidP="007735EB">
      <w:pPr>
        <w:pStyle w:val="Heading1"/>
        <w:spacing w:before="120" w:after="120" w:line="259" w:lineRule="auto"/>
        <w:ind w:left="720"/>
        <w:rPr>
          <w:rFonts w:ascii="Times New Roman" w:eastAsia="Times New Roman" w:hAnsi="Times New Roman" w:cs="Times New Roman"/>
          <w:b/>
          <w:bCs/>
          <w:color w:val="000000" w:themeColor="text1"/>
          <w:sz w:val="28"/>
          <w:szCs w:val="28"/>
        </w:rPr>
      </w:pPr>
      <w:bookmarkStart w:id="0" w:name="_Toc218504998"/>
      <w:r w:rsidRPr="007735EB">
        <w:rPr>
          <w:rFonts w:ascii="Times New Roman" w:eastAsia="Times New Roman" w:hAnsi="Times New Roman" w:cs="Times New Roman"/>
          <w:b/>
          <w:bCs/>
          <w:color w:val="000000" w:themeColor="text1"/>
          <w:sz w:val="28"/>
          <w:szCs w:val="28"/>
        </w:rPr>
        <w:t>Preambula</w:t>
      </w:r>
      <w:bookmarkEnd w:id="0"/>
    </w:p>
    <w:p w14:paraId="1EB775F2" w14:textId="0BC3E580" w:rsidR="0069062A"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Vadlīnijas ir izstrādātas projekta “Mikrokvalifikāciju izmēģinājumprojekta valsts lietišķo zinātņu augstskolās, valsts lietišķo zinātņu universitātēs, mākslu un kultūras universitātēs un valsts un valsts augstskolu dibinātās koledžās koordinēšana un rezultātu izvērtēšana 2024.-2027. gadā” ietvaros ar mērķi aprakstīt metodiku un sniegt ieteikumus augstākās izglītības iestādēs īstenoto profesionālās pilnveides programmu izveidei. Projekta mērķis savukārt ir nodrošināt mikrokvalifikāciju izmēģinājumprojekta koordinēšanu un rezultātu izvērtēšanu valsts lietišķo zinātņu augstskolās, universitātēs, mākslu un kultūras universitātēs, kā arī valsts dibinātajās koledžās, lai attīstītu un pārbaudītu profesionālās pilnveides programmas, kas atbilst 5.–7. profesionālās kvalifikācijas līmenim, veicinot elastīgu un darba tirgus vajadzībām atbilstošu augstāko izglītību Latvijā. Latvijas kontekstā mikrokvalifikācijas (</w:t>
      </w:r>
      <w:r w:rsidRPr="007735EB">
        <w:rPr>
          <w:rFonts w:ascii="Times New Roman" w:eastAsia="Times New Roman" w:hAnsi="Times New Roman" w:cs="Times New Roman"/>
          <w:i/>
          <w:iCs/>
          <w:color w:val="000000" w:themeColor="text1"/>
          <w:sz w:val="24"/>
          <w:szCs w:val="24"/>
        </w:rPr>
        <w:t>microcredentials</w:t>
      </w:r>
      <w:r w:rsidRPr="007735EB">
        <w:rPr>
          <w:rFonts w:ascii="Times New Roman" w:eastAsia="Times New Roman" w:hAnsi="Times New Roman" w:cs="Times New Roman"/>
          <w:color w:val="000000" w:themeColor="text1"/>
          <w:sz w:val="24"/>
          <w:szCs w:val="24"/>
        </w:rPr>
        <w:t xml:space="preserve">) normatīvajos dokumentos tiks apzmētas kā profesionālās pilnveides programmas. </w:t>
      </w:r>
    </w:p>
    <w:p w14:paraId="5D8A2893" w14:textId="46E361AD" w:rsidR="00AB05AE" w:rsidRPr="007735EB" w:rsidRDefault="004B7ED8" w:rsidP="007735EB">
      <w:pPr>
        <w:pStyle w:val="Heading1"/>
        <w:numPr>
          <w:ilvl w:val="0"/>
          <w:numId w:val="17"/>
        </w:numPr>
        <w:spacing w:before="120" w:after="120" w:line="259" w:lineRule="auto"/>
        <w:ind w:left="1077" w:hanging="357"/>
        <w:rPr>
          <w:rFonts w:ascii="Times New Roman" w:hAnsi="Times New Roman" w:cs="Times New Roman"/>
          <w:b/>
          <w:bCs/>
          <w:color w:val="000000" w:themeColor="text1"/>
          <w:sz w:val="28"/>
          <w:szCs w:val="28"/>
        </w:rPr>
      </w:pPr>
      <w:bookmarkStart w:id="1" w:name="_Toc218504999"/>
      <w:r w:rsidRPr="007735EB">
        <w:rPr>
          <w:rFonts w:ascii="Times New Roman" w:hAnsi="Times New Roman" w:cs="Times New Roman"/>
          <w:b/>
          <w:bCs/>
          <w:color w:val="000000" w:themeColor="text1"/>
          <w:sz w:val="28"/>
          <w:szCs w:val="28"/>
        </w:rPr>
        <w:t>Plānošana</w:t>
      </w:r>
      <w:bookmarkEnd w:id="1"/>
    </w:p>
    <w:p w14:paraId="5D8A2894" w14:textId="0DDFEBEE" w:rsidR="00AB05AE" w:rsidRPr="007735EB" w:rsidRDefault="00CC2881" w:rsidP="007735EB">
      <w:pPr>
        <w:pStyle w:val="Heading2"/>
        <w:spacing w:before="120" w:after="120" w:line="259" w:lineRule="auto"/>
        <w:ind w:left="720"/>
        <w:rPr>
          <w:rFonts w:ascii="Times New Roman" w:eastAsia="Times New Roman" w:hAnsi="Times New Roman" w:cs="Times New Roman"/>
          <w:b/>
          <w:bCs/>
          <w:color w:val="000000" w:themeColor="text1"/>
          <w:sz w:val="24"/>
          <w:szCs w:val="24"/>
        </w:rPr>
      </w:pPr>
      <w:bookmarkStart w:id="2" w:name="_Toc218505000"/>
      <w:r w:rsidRPr="007735EB">
        <w:rPr>
          <w:rFonts w:ascii="Times New Roman" w:eastAsia="Times New Roman" w:hAnsi="Times New Roman" w:cs="Times New Roman"/>
          <w:b/>
          <w:bCs/>
          <w:color w:val="000000" w:themeColor="text1"/>
          <w:sz w:val="24"/>
          <w:szCs w:val="24"/>
        </w:rPr>
        <w:t xml:space="preserve">1.1. </w:t>
      </w:r>
      <w:r w:rsidR="00096341" w:rsidRPr="007735EB">
        <w:rPr>
          <w:rFonts w:ascii="Times New Roman" w:eastAsia="Times New Roman" w:hAnsi="Times New Roman" w:cs="Times New Roman"/>
          <w:b/>
          <w:bCs/>
          <w:color w:val="000000" w:themeColor="text1"/>
          <w:sz w:val="24"/>
          <w:szCs w:val="24"/>
        </w:rPr>
        <w:t>Normatīvo dokumentu noteiktais regulējums</w:t>
      </w:r>
      <w:bookmarkEnd w:id="2"/>
    </w:p>
    <w:p w14:paraId="5D8A2895"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Latvijas normatīvie dokumenti nosaka, ka augstākās izglītības iestādes ir tiesīgas īstenot profesionālās pilnveides programmas, kuras veidotas no</w:t>
      </w:r>
      <w:r w:rsidRPr="007735EB">
        <w:rPr>
          <w:rFonts w:ascii="Times New Roman" w:eastAsia="Times New Roman" w:hAnsi="Times New Roman" w:cs="Times New Roman"/>
          <w:color w:val="000000" w:themeColor="text1"/>
          <w:sz w:val="24"/>
          <w:szCs w:val="24"/>
          <w:highlight w:val="white"/>
        </w:rPr>
        <w:t xml:space="preserve"> akreditētas augstākās izglītības programmas daļas, kas nodrošina arī profesionālās kvalifikācijas ieguvi.</w:t>
      </w:r>
      <w:r w:rsidRPr="007735EB">
        <w:rPr>
          <w:rFonts w:ascii="Times New Roman" w:eastAsia="Times New Roman" w:hAnsi="Times New Roman" w:cs="Times New Roman"/>
          <w:color w:val="000000" w:themeColor="text1"/>
          <w:sz w:val="24"/>
          <w:szCs w:val="24"/>
        </w:rPr>
        <w:t xml:space="preserve"> Profesionālās pilnveides programmas AII tiek veidotas, balstoties uz normatīvajiem dokumentiem un aktuālajām darba tirgus prasībām. Šādu programmu izstrādē jāparedz ne tikai atbilstību Latvijas kvalifikāciju ietvarstruktūrai, bet arī elastīgu pielāgošanos mainīgajām profesionālajām kompetencēm, ko nosaka attiecīgās nozares attīstība un darba tirgus prognozes.</w:t>
      </w:r>
    </w:p>
    <w:p w14:paraId="5D8A2896"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Profesionālās pilnveides programma AII jāveido saskaņā ar turpmāk norādītajiem normatīvajiem dokumentiem:</w:t>
      </w:r>
    </w:p>
    <w:p w14:paraId="5D8A2897" w14:textId="77777777" w:rsidR="00AB05AE" w:rsidRPr="007735EB" w:rsidRDefault="004B7ED8" w:rsidP="001C4466">
      <w:pPr>
        <w:numPr>
          <w:ilvl w:val="0"/>
          <w:numId w:val="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Izglītības likums</w:t>
      </w:r>
      <w:r w:rsidRPr="007735EB">
        <w:rPr>
          <w:rFonts w:ascii="Times New Roman" w:eastAsia="Times New Roman" w:hAnsi="Times New Roman" w:cs="Times New Roman"/>
          <w:color w:val="000000" w:themeColor="text1"/>
          <w:sz w:val="24"/>
          <w:szCs w:val="24"/>
          <w:vertAlign w:val="superscript"/>
        </w:rPr>
        <w:footnoteReference w:id="1"/>
      </w:r>
      <w:r w:rsidRPr="007735EB">
        <w:rPr>
          <w:rFonts w:ascii="Times New Roman" w:eastAsia="Times New Roman" w:hAnsi="Times New Roman" w:cs="Times New Roman"/>
          <w:color w:val="000000" w:themeColor="text1"/>
          <w:sz w:val="24"/>
          <w:szCs w:val="24"/>
        </w:rPr>
        <w:t xml:space="preserve"> - regulē Latvijas izglītības sistēmu kopumā, izglītības iestāžu darbību, studiju programmu veidošanu un kvalifikāciju piešķiršanu.</w:t>
      </w:r>
    </w:p>
    <w:p w14:paraId="5D8A2898" w14:textId="77777777" w:rsidR="00AB05AE" w:rsidRPr="007735EB" w:rsidRDefault="004B7ED8" w:rsidP="001C4466">
      <w:pPr>
        <w:numPr>
          <w:ilvl w:val="0"/>
          <w:numId w:val="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Augstskolu likums</w:t>
      </w:r>
      <w:r w:rsidRPr="007735EB">
        <w:rPr>
          <w:rFonts w:ascii="Times New Roman" w:eastAsia="Times New Roman" w:hAnsi="Times New Roman" w:cs="Times New Roman"/>
          <w:color w:val="000000" w:themeColor="text1"/>
          <w:sz w:val="24"/>
          <w:szCs w:val="24"/>
          <w:vertAlign w:val="superscript"/>
        </w:rPr>
        <w:footnoteReference w:id="2"/>
      </w:r>
      <w:r w:rsidRPr="007735EB">
        <w:rPr>
          <w:rFonts w:ascii="Times New Roman" w:eastAsia="Times New Roman" w:hAnsi="Times New Roman" w:cs="Times New Roman"/>
          <w:color w:val="000000" w:themeColor="text1"/>
          <w:sz w:val="24"/>
          <w:szCs w:val="24"/>
        </w:rPr>
        <w:t xml:space="preserve"> - nosaka augstskolu autonomiju, to darbības tiesisko pamatu, studiju programmu izstrādi, kvalitātes nodrošināšanu un valsts uzraudzību pār augstākās izglītības sistēmu, garantējot akadēmisko brīvību un atbildību par izglītības kvalitāti.</w:t>
      </w:r>
    </w:p>
    <w:p w14:paraId="5D8A2899" w14:textId="77777777" w:rsidR="00AB05AE" w:rsidRPr="007735EB" w:rsidRDefault="004B7ED8" w:rsidP="001C4466">
      <w:pPr>
        <w:numPr>
          <w:ilvl w:val="0"/>
          <w:numId w:val="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lastRenderedPageBreak/>
        <w:t>Profesionālās izglītības likums</w:t>
      </w:r>
      <w:r w:rsidRPr="007735EB">
        <w:rPr>
          <w:rFonts w:ascii="Times New Roman" w:eastAsia="Times New Roman" w:hAnsi="Times New Roman" w:cs="Times New Roman"/>
          <w:color w:val="000000" w:themeColor="text1"/>
          <w:sz w:val="24"/>
          <w:szCs w:val="24"/>
          <w:vertAlign w:val="superscript"/>
        </w:rPr>
        <w:footnoteReference w:id="3"/>
      </w:r>
      <w:r w:rsidRPr="007735EB">
        <w:rPr>
          <w:rFonts w:ascii="Times New Roman" w:eastAsia="Times New Roman" w:hAnsi="Times New Roman" w:cs="Times New Roman"/>
          <w:color w:val="000000" w:themeColor="text1"/>
          <w:sz w:val="24"/>
          <w:szCs w:val="24"/>
        </w:rPr>
        <w:t xml:space="preserve"> - nosaka profesionālās izglītības politikas īstenošanu un profesionālās izglītības sistēmas darbību, vadību un attīstību.</w:t>
      </w:r>
    </w:p>
    <w:p w14:paraId="5D8A289A" w14:textId="77777777" w:rsidR="00AB05AE" w:rsidRPr="007735EB" w:rsidRDefault="004B7ED8" w:rsidP="001C4466">
      <w:pPr>
        <w:numPr>
          <w:ilvl w:val="0"/>
          <w:numId w:val="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Ministru kabineta Noteikumi par Latvijas izglītības klasifikāciju</w:t>
      </w:r>
      <w:r w:rsidRPr="007735EB">
        <w:rPr>
          <w:rFonts w:ascii="Times New Roman" w:eastAsia="Times New Roman" w:hAnsi="Times New Roman" w:cs="Times New Roman"/>
          <w:color w:val="000000" w:themeColor="text1"/>
          <w:sz w:val="24"/>
          <w:szCs w:val="24"/>
          <w:vertAlign w:val="superscript"/>
        </w:rPr>
        <w:footnoteReference w:id="4"/>
      </w:r>
      <w:r w:rsidRPr="007735EB">
        <w:rPr>
          <w:rFonts w:ascii="Times New Roman" w:eastAsia="Times New Roman" w:hAnsi="Times New Roman" w:cs="Times New Roman"/>
          <w:color w:val="000000" w:themeColor="text1"/>
          <w:sz w:val="24"/>
          <w:szCs w:val="24"/>
        </w:rPr>
        <w:t xml:space="preserve"> - Latvijas kvalifikāciju ietvarstruktūras (LKI) un tās sasaistes ar Eiropas kvalifikāciju ietvarstruktūras (EKI) īstenošana, kam jābūt līdzvērtīgai un starptautiski atzītai.</w:t>
      </w:r>
    </w:p>
    <w:p w14:paraId="5D8A289B" w14:textId="77777777" w:rsidR="00AB05AE" w:rsidRPr="007735EB" w:rsidRDefault="004B7ED8" w:rsidP="001C4466">
      <w:pPr>
        <w:numPr>
          <w:ilvl w:val="0"/>
          <w:numId w:val="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Ministru kabineta noteikumi par valsts profesionālās tālākizglītības un profesionālās pilnveides izglītības standartu</w:t>
      </w:r>
      <w:r w:rsidRPr="007735EB">
        <w:rPr>
          <w:rFonts w:ascii="Times New Roman" w:eastAsia="Times New Roman" w:hAnsi="Times New Roman" w:cs="Times New Roman"/>
          <w:color w:val="000000" w:themeColor="text1"/>
          <w:sz w:val="24"/>
          <w:szCs w:val="24"/>
          <w:vertAlign w:val="superscript"/>
        </w:rPr>
        <w:footnoteReference w:id="5"/>
      </w:r>
      <w:r w:rsidRPr="007735EB">
        <w:rPr>
          <w:rFonts w:ascii="Times New Roman" w:eastAsia="Times New Roman" w:hAnsi="Times New Roman" w:cs="Times New Roman"/>
          <w:color w:val="000000" w:themeColor="text1"/>
          <w:sz w:val="24"/>
          <w:szCs w:val="24"/>
        </w:rPr>
        <w:t xml:space="preserve"> un izglītības programmu apstiprināšanas kārtību - nosaka prasības programmu ieviešanai, īstenošanai un kvalitātei, t. sk. par programmas apguvi apliecinošo dokumentu izsniegšanas kārtību</w:t>
      </w:r>
      <w:r w:rsidRPr="007735EB">
        <w:rPr>
          <w:rFonts w:ascii="Times New Roman" w:eastAsia="Times New Roman" w:hAnsi="Times New Roman" w:cs="Times New Roman"/>
          <w:color w:val="000000" w:themeColor="text1"/>
          <w:sz w:val="24"/>
          <w:szCs w:val="24"/>
          <w:vertAlign w:val="superscript"/>
        </w:rPr>
        <w:footnoteReference w:id="6"/>
      </w:r>
      <w:r w:rsidRPr="007735EB">
        <w:rPr>
          <w:rFonts w:ascii="Times New Roman" w:eastAsia="Times New Roman" w:hAnsi="Times New Roman" w:cs="Times New Roman"/>
          <w:color w:val="000000" w:themeColor="text1"/>
          <w:sz w:val="24"/>
          <w:szCs w:val="24"/>
        </w:rPr>
        <w:t>.</w:t>
      </w:r>
    </w:p>
    <w:p w14:paraId="5D8A289C" w14:textId="77777777" w:rsidR="00AB05AE" w:rsidRPr="007735EB" w:rsidRDefault="004B7ED8" w:rsidP="001C4466">
      <w:pPr>
        <w:numPr>
          <w:ilvl w:val="0"/>
          <w:numId w:val="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Profesijas kvalifikācijai atbilstošie profesiju standarti</w:t>
      </w:r>
      <w:r w:rsidRPr="007735EB">
        <w:rPr>
          <w:rFonts w:ascii="Times New Roman" w:eastAsia="Times New Roman" w:hAnsi="Times New Roman" w:cs="Times New Roman"/>
          <w:color w:val="000000" w:themeColor="text1"/>
          <w:sz w:val="24"/>
          <w:szCs w:val="24"/>
          <w:vertAlign w:val="superscript"/>
        </w:rPr>
        <w:footnoteReference w:id="7"/>
      </w:r>
      <w:r w:rsidRPr="007735EB">
        <w:rPr>
          <w:rFonts w:ascii="Times New Roman" w:eastAsia="Times New Roman" w:hAnsi="Times New Roman" w:cs="Times New Roman"/>
          <w:color w:val="000000" w:themeColor="text1"/>
          <w:sz w:val="24"/>
          <w:szCs w:val="24"/>
        </w:rPr>
        <w:t>.</w:t>
      </w:r>
    </w:p>
    <w:p w14:paraId="5D8A289E" w14:textId="699E1B00" w:rsidR="00AB05AE" w:rsidRPr="007735EB" w:rsidRDefault="004B7ED8" w:rsidP="001C4466">
      <w:pPr>
        <w:numPr>
          <w:ilvl w:val="0"/>
          <w:numId w:val="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Darba tirgus un nodarbinātības normatīvi, kas nosaka prasības pieaugušo izglītībai un prasmju pilnveidei.</w:t>
      </w:r>
    </w:p>
    <w:p w14:paraId="5D8A289F" w14:textId="668BFD84" w:rsidR="00AB05AE" w:rsidRPr="007735EB" w:rsidRDefault="00CC2881" w:rsidP="001C4466">
      <w:pPr>
        <w:pStyle w:val="Heading2"/>
        <w:numPr>
          <w:ilvl w:val="1"/>
          <w:numId w:val="21"/>
        </w:numPr>
        <w:spacing w:before="120" w:after="120" w:line="259" w:lineRule="auto"/>
        <w:ind w:left="720" w:firstLine="0"/>
        <w:rPr>
          <w:rFonts w:ascii="Times New Roman" w:eastAsia="Times New Roman" w:hAnsi="Times New Roman" w:cs="Times New Roman"/>
          <w:b/>
          <w:bCs/>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 </w:t>
      </w:r>
      <w:bookmarkStart w:id="3" w:name="_Toc218505001"/>
      <w:r w:rsidR="00096341" w:rsidRPr="007735EB">
        <w:rPr>
          <w:rFonts w:ascii="Times New Roman" w:eastAsia="Times New Roman" w:hAnsi="Times New Roman" w:cs="Times New Roman"/>
          <w:b/>
          <w:bCs/>
          <w:color w:val="000000" w:themeColor="text1"/>
          <w:sz w:val="24"/>
          <w:szCs w:val="24"/>
        </w:rPr>
        <w:t>Mērķgrupas vajadzības</w:t>
      </w:r>
      <w:bookmarkEnd w:id="3"/>
    </w:p>
    <w:p w14:paraId="5D8A28A0"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Mērķgrupu identificēšana un vajadzību izpratne ir būtisks nosacījums, lai izstrādātās programmas būtu efektīvas, praktiskas un pieprasītas. Kā galvenās mērķgrupas var noteikt:</w:t>
      </w:r>
    </w:p>
    <w:p w14:paraId="5D8A28A1" w14:textId="77777777" w:rsidR="00AB05AE" w:rsidRPr="007735EB" w:rsidRDefault="004B7ED8" w:rsidP="001C4466">
      <w:pPr>
        <w:numPr>
          <w:ilvl w:val="0"/>
          <w:numId w:val="1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strādājošie profesionāļi - personas ar iepriekš iegūtu kvalifikāciju, kuras vēlas saglabāt konkurētspēju, pielāgoties tehnoloģiskām pārmaiņām vai ieņemt jaunus amatus savā nozarē;</w:t>
      </w:r>
    </w:p>
    <w:p w14:paraId="5D8A28A2" w14:textId="77777777" w:rsidR="00AB05AE" w:rsidRPr="007735EB" w:rsidRDefault="004B7ED8" w:rsidP="001C4466">
      <w:pPr>
        <w:numPr>
          <w:ilvl w:val="0"/>
          <w:numId w:val="1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tehnisko un profesionālo nozaru darbinieki - personas ar praktiskām iemaņām un profesionālu kvalifikāciju, kuriem jāatjauno prasmes, īpaši digitalizācijas kontekstā;</w:t>
      </w:r>
    </w:p>
    <w:p w14:paraId="5D8A28A3" w14:textId="77777777" w:rsidR="00AB05AE" w:rsidRPr="007735EB" w:rsidRDefault="004B7ED8" w:rsidP="001C4466">
      <w:pPr>
        <w:numPr>
          <w:ilvl w:val="0"/>
          <w:numId w:val="1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augstākās izglītības absolventi bez darba pieredzes - personas ar akadēmisku izglītību, kurām trūkst praktisko iemaņu vai darba tirgum atbilstošu prasmju;</w:t>
      </w:r>
    </w:p>
    <w:p w14:paraId="5D8A28A4" w14:textId="77777777" w:rsidR="00AB05AE" w:rsidRPr="007735EB" w:rsidRDefault="004B7ED8" w:rsidP="001C4466">
      <w:pPr>
        <w:numPr>
          <w:ilvl w:val="0"/>
          <w:numId w:val="1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pieaugušie bez iepriekšējas augstākās izglītības - personas bez iepriekšējas akadēmiskās kvalifikācijas, kuras vēlas uzsākt mācības konkrētu prasmju dēļ (piemēram, lai veicinātu nodarbinātību vai uzņēmējdarbību).</w:t>
      </w:r>
    </w:p>
    <w:p w14:paraId="5D8A28A5" w14:textId="14F46FE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Pamatojoties uz starptautiskām praksēm un priekšnosacījumiem, lai PPP būtu efektīvas un pieprasītas, turpmāk tiek definētas galvenās </w:t>
      </w:r>
      <w:r w:rsidRPr="00B521D4">
        <w:rPr>
          <w:rFonts w:ascii="Times New Roman" w:eastAsia="Times New Roman" w:hAnsi="Times New Roman" w:cs="Times New Roman"/>
          <w:color w:val="000000" w:themeColor="text1"/>
          <w:sz w:val="24"/>
          <w:szCs w:val="24"/>
        </w:rPr>
        <w:t>mērķgrupu vajadzības</w:t>
      </w:r>
      <w:r w:rsidR="00CC2881" w:rsidRPr="007735EB">
        <w:rPr>
          <w:rFonts w:ascii="Times New Roman" w:eastAsia="Times New Roman" w:hAnsi="Times New Roman" w:cs="Times New Roman"/>
          <w:color w:val="000000" w:themeColor="text1"/>
          <w:sz w:val="24"/>
          <w:szCs w:val="24"/>
        </w:rPr>
        <w:t>:</w:t>
      </w:r>
    </w:p>
    <w:p w14:paraId="5D8A28A6" w14:textId="77777777" w:rsidR="00AB05AE" w:rsidRPr="007735EB" w:rsidRDefault="004B7ED8" w:rsidP="001C4466">
      <w:pPr>
        <w:numPr>
          <w:ilvl w:val="0"/>
          <w:numId w:val="2"/>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Elastība laika un formas ziņā</w:t>
      </w:r>
      <w:r w:rsidRPr="007735EB">
        <w:rPr>
          <w:rFonts w:ascii="Times New Roman" w:eastAsia="Times New Roman" w:hAnsi="Times New Roman" w:cs="Times New Roman"/>
          <w:color w:val="000000" w:themeColor="text1"/>
          <w:sz w:val="24"/>
          <w:szCs w:val="24"/>
        </w:rPr>
        <w:t>. Mērķgrupai ir nepieciešama iespēja apgūt moduļus daļlaikā, modulāri, tiešsaistē vai hibrīdā režīmā, lai savienotu mācības ar darba un ģimenes saistībām</w:t>
      </w:r>
      <w:r w:rsidRPr="007735EB">
        <w:rPr>
          <w:rFonts w:ascii="Times New Roman" w:eastAsia="Times New Roman" w:hAnsi="Times New Roman" w:cs="Times New Roman"/>
          <w:color w:val="000000" w:themeColor="text1"/>
          <w:sz w:val="24"/>
          <w:szCs w:val="24"/>
          <w:vertAlign w:val="superscript"/>
        </w:rPr>
        <w:footnoteReference w:id="8"/>
      </w:r>
      <w:r w:rsidRPr="007735EB">
        <w:rPr>
          <w:rFonts w:ascii="Times New Roman" w:eastAsia="Times New Roman" w:hAnsi="Times New Roman" w:cs="Times New Roman"/>
          <w:color w:val="000000" w:themeColor="text1"/>
          <w:sz w:val="24"/>
          <w:szCs w:val="24"/>
        </w:rPr>
        <w:t>.</w:t>
      </w:r>
    </w:p>
    <w:p w14:paraId="5D8A28A7" w14:textId="77777777" w:rsidR="00AB05AE" w:rsidRPr="007735EB" w:rsidRDefault="004B7ED8" w:rsidP="001C4466">
      <w:pPr>
        <w:numPr>
          <w:ilvl w:val="0"/>
          <w:numId w:val="2"/>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lastRenderedPageBreak/>
        <w:t>Mērķtiecīga saiste ar darba tirgu</w:t>
      </w:r>
      <w:r w:rsidRPr="007735EB">
        <w:rPr>
          <w:rFonts w:ascii="Times New Roman" w:eastAsia="Times New Roman" w:hAnsi="Times New Roman" w:cs="Times New Roman"/>
          <w:color w:val="000000" w:themeColor="text1"/>
          <w:sz w:val="24"/>
          <w:szCs w:val="24"/>
        </w:rPr>
        <w:t>. PPP ir jābūt cieši saistītām ar reālām prasmēm un nozares vajadzībām, kas nodrošina mērķgrupai pārliecību par investīciju vērtību</w:t>
      </w:r>
      <w:r w:rsidRPr="007735EB">
        <w:rPr>
          <w:rFonts w:ascii="Times New Roman" w:eastAsia="Times New Roman" w:hAnsi="Times New Roman" w:cs="Times New Roman"/>
          <w:color w:val="000000" w:themeColor="text1"/>
          <w:sz w:val="24"/>
          <w:szCs w:val="24"/>
          <w:vertAlign w:val="superscript"/>
        </w:rPr>
        <w:footnoteReference w:id="9"/>
      </w:r>
      <w:r w:rsidRPr="007735EB">
        <w:rPr>
          <w:rFonts w:ascii="Times New Roman" w:eastAsia="Times New Roman" w:hAnsi="Times New Roman" w:cs="Times New Roman"/>
          <w:color w:val="000000" w:themeColor="text1"/>
          <w:sz w:val="24"/>
          <w:szCs w:val="24"/>
        </w:rPr>
        <w:t>.</w:t>
      </w:r>
    </w:p>
    <w:p w14:paraId="5D8A28A8" w14:textId="77777777" w:rsidR="00AB05AE" w:rsidRPr="007735EB" w:rsidRDefault="004B7ED8" w:rsidP="001C4466">
      <w:pPr>
        <w:numPr>
          <w:ilvl w:val="0"/>
          <w:numId w:val="2"/>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Savietojamība ar kvalifikāciju sistēmām</w:t>
      </w:r>
      <w:r w:rsidRPr="007735EB">
        <w:rPr>
          <w:rFonts w:ascii="Times New Roman" w:eastAsia="Times New Roman" w:hAnsi="Times New Roman" w:cs="Times New Roman"/>
          <w:color w:val="000000" w:themeColor="text1"/>
          <w:sz w:val="24"/>
          <w:szCs w:val="24"/>
        </w:rPr>
        <w:t>. Mērķgrupai ir svarīgi, lai iegūtās mikrokvalifikācijas būtu uzkrājamas vai pārnesamas uz vēlākām kvalifikācijām, jo šāda iespēja motivē dalībniekus izvēlēties šo ceļu</w:t>
      </w:r>
      <w:r w:rsidRPr="007735EB">
        <w:rPr>
          <w:rFonts w:ascii="Times New Roman" w:eastAsia="Times New Roman" w:hAnsi="Times New Roman" w:cs="Times New Roman"/>
          <w:color w:val="000000" w:themeColor="text1"/>
          <w:sz w:val="24"/>
          <w:szCs w:val="24"/>
          <w:vertAlign w:val="superscript"/>
        </w:rPr>
        <w:footnoteReference w:id="10"/>
      </w:r>
      <w:r w:rsidRPr="007735EB">
        <w:rPr>
          <w:rFonts w:ascii="Times New Roman" w:eastAsia="Times New Roman" w:hAnsi="Times New Roman" w:cs="Times New Roman"/>
          <w:color w:val="000000" w:themeColor="text1"/>
          <w:sz w:val="24"/>
          <w:szCs w:val="24"/>
        </w:rPr>
        <w:t>.</w:t>
      </w:r>
    </w:p>
    <w:p w14:paraId="5D8A28A9" w14:textId="77777777" w:rsidR="00AB05AE" w:rsidRPr="007735EB" w:rsidRDefault="004B7ED8" w:rsidP="001C4466">
      <w:pPr>
        <w:numPr>
          <w:ilvl w:val="0"/>
          <w:numId w:val="2"/>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Atbilstoša apjoma un ātras apguves iespēja</w:t>
      </w:r>
      <w:r w:rsidRPr="007735EB">
        <w:rPr>
          <w:rFonts w:ascii="Times New Roman" w:eastAsia="Times New Roman" w:hAnsi="Times New Roman" w:cs="Times New Roman"/>
          <w:color w:val="000000" w:themeColor="text1"/>
          <w:sz w:val="24"/>
          <w:szCs w:val="24"/>
        </w:rPr>
        <w:t>. Mērķgrupai svarīgs īss apjoms, kurš ļauj sasniegt konkrētu kompetenci neliela laika investīcijā. Starptautiskās prakses rāda, ka mikrokvalifikācijas tiek definētas kā īsas, mērķtiecīgas mācību vienības, mazākas par tradicionālām kvalifikācijām</w:t>
      </w:r>
      <w:r w:rsidRPr="007735EB">
        <w:rPr>
          <w:rFonts w:ascii="Times New Roman" w:eastAsia="Times New Roman" w:hAnsi="Times New Roman" w:cs="Times New Roman"/>
          <w:color w:val="000000" w:themeColor="text1"/>
          <w:sz w:val="24"/>
          <w:szCs w:val="24"/>
          <w:vertAlign w:val="superscript"/>
        </w:rPr>
        <w:footnoteReference w:id="11"/>
      </w:r>
      <w:r w:rsidRPr="007735EB">
        <w:rPr>
          <w:rFonts w:ascii="Times New Roman" w:eastAsia="Times New Roman" w:hAnsi="Times New Roman" w:cs="Times New Roman"/>
          <w:color w:val="000000" w:themeColor="text1"/>
          <w:sz w:val="24"/>
          <w:szCs w:val="24"/>
        </w:rPr>
        <w:t>.</w:t>
      </w:r>
    </w:p>
    <w:p w14:paraId="5D8A28AA" w14:textId="77777777" w:rsidR="00AB05AE" w:rsidRPr="007735EB" w:rsidRDefault="004B7ED8" w:rsidP="001C4466">
      <w:pPr>
        <w:numPr>
          <w:ilvl w:val="0"/>
          <w:numId w:val="2"/>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Augsts uzticamības līmenis. </w:t>
      </w:r>
      <w:r w:rsidRPr="007735EB">
        <w:rPr>
          <w:rFonts w:ascii="Times New Roman" w:eastAsia="Times New Roman" w:hAnsi="Times New Roman" w:cs="Times New Roman"/>
          <w:color w:val="000000" w:themeColor="text1"/>
          <w:sz w:val="24"/>
          <w:szCs w:val="24"/>
        </w:rPr>
        <w:t>Dalībniekiem jābūt pārliecinātiem, ka PPP tiks atzīta vai cienīta darba devēju un akadēmiskajā vidē. Tāpēc ir nepieciešama kvalitātes nodrošināšana, skaidra vērtēšana un metadatu pārskatāmība</w:t>
      </w:r>
      <w:r w:rsidRPr="007735EB">
        <w:rPr>
          <w:rFonts w:ascii="Times New Roman" w:eastAsia="Times New Roman" w:hAnsi="Times New Roman" w:cs="Times New Roman"/>
          <w:color w:val="000000" w:themeColor="text1"/>
          <w:sz w:val="24"/>
          <w:szCs w:val="24"/>
          <w:vertAlign w:val="superscript"/>
        </w:rPr>
        <w:footnoteReference w:id="12"/>
      </w:r>
      <w:r w:rsidRPr="007735EB">
        <w:rPr>
          <w:rFonts w:ascii="Times New Roman" w:eastAsia="Times New Roman" w:hAnsi="Times New Roman" w:cs="Times New Roman"/>
          <w:color w:val="000000" w:themeColor="text1"/>
          <w:sz w:val="24"/>
          <w:szCs w:val="24"/>
        </w:rPr>
        <w:t>.</w:t>
      </w:r>
    </w:p>
    <w:p w14:paraId="5D8A28AB" w14:textId="77777777" w:rsidR="00AB05AE" w:rsidRPr="007735EB" w:rsidRDefault="004B7ED8" w:rsidP="001C4466">
      <w:pPr>
        <w:numPr>
          <w:ilvl w:val="0"/>
          <w:numId w:val="2"/>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Atbalsts un infrastruktūra. </w:t>
      </w:r>
      <w:r w:rsidRPr="007735EB">
        <w:rPr>
          <w:rFonts w:ascii="Times New Roman" w:eastAsia="Times New Roman" w:hAnsi="Times New Roman" w:cs="Times New Roman"/>
          <w:color w:val="000000" w:themeColor="text1"/>
          <w:sz w:val="24"/>
          <w:szCs w:val="24"/>
        </w:rPr>
        <w:t>Mērķgrupai nepieciešama tehniskā un pedagogu atbalsta pieejamība, piemēram, digitālās platformas, mentori, materiāli u.tml.</w:t>
      </w:r>
      <w:r w:rsidRPr="007735EB">
        <w:rPr>
          <w:rFonts w:ascii="Times New Roman" w:eastAsia="Times New Roman" w:hAnsi="Times New Roman" w:cs="Times New Roman"/>
          <w:color w:val="000000" w:themeColor="text1"/>
          <w:sz w:val="24"/>
          <w:szCs w:val="24"/>
          <w:vertAlign w:val="superscript"/>
        </w:rPr>
        <w:footnoteReference w:id="13"/>
      </w:r>
    </w:p>
    <w:p w14:paraId="5D8A28AD" w14:textId="4A555FE9" w:rsidR="00AB05AE" w:rsidRPr="007735EB" w:rsidRDefault="004B7ED8" w:rsidP="001C4466">
      <w:pPr>
        <w:numPr>
          <w:ilvl w:val="0"/>
          <w:numId w:val="2"/>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Ilgtspējas un motivācijas aspekti. </w:t>
      </w:r>
      <w:r w:rsidRPr="007735EB">
        <w:rPr>
          <w:rFonts w:ascii="Times New Roman" w:eastAsia="Times New Roman" w:hAnsi="Times New Roman" w:cs="Times New Roman"/>
          <w:color w:val="000000" w:themeColor="text1"/>
          <w:sz w:val="24"/>
          <w:szCs w:val="24"/>
        </w:rPr>
        <w:t>Mērķgrupai ir jāredz ilgtermiņa lietderība un iespēja turpināt pilnveidot prasmes, kas nodrošina to, ka PPP netiek uztvertas kā vienreizējs eksperiments, bet kā daļa no karjeras ceļa.</w:t>
      </w:r>
    </w:p>
    <w:p w14:paraId="5D8A28AE" w14:textId="19D462B6" w:rsidR="00AB05AE" w:rsidRPr="007735EB" w:rsidRDefault="00CC2881" w:rsidP="001C4466">
      <w:pPr>
        <w:pStyle w:val="Heading2"/>
        <w:numPr>
          <w:ilvl w:val="1"/>
          <w:numId w:val="21"/>
        </w:numPr>
        <w:spacing w:before="120" w:after="120" w:line="259" w:lineRule="auto"/>
        <w:ind w:left="720" w:firstLine="0"/>
        <w:rPr>
          <w:rFonts w:ascii="Times New Roman" w:eastAsia="Times New Roman" w:hAnsi="Times New Roman" w:cs="Times New Roman"/>
          <w:b/>
          <w:bCs/>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 </w:t>
      </w:r>
      <w:bookmarkStart w:id="4" w:name="_Toc218505002"/>
      <w:r w:rsidR="00096341" w:rsidRPr="007735EB">
        <w:rPr>
          <w:rFonts w:ascii="Times New Roman" w:eastAsia="Times New Roman" w:hAnsi="Times New Roman" w:cs="Times New Roman"/>
          <w:b/>
          <w:bCs/>
          <w:color w:val="000000" w:themeColor="text1"/>
          <w:sz w:val="24"/>
          <w:szCs w:val="24"/>
        </w:rPr>
        <w:t>Nozares pārstāvju iesaiste</w:t>
      </w:r>
      <w:bookmarkEnd w:id="4"/>
    </w:p>
    <w:p w14:paraId="5D8A28AF" w14:textId="49CDCB1C" w:rsidR="00AB05AE" w:rsidRPr="007735EB" w:rsidRDefault="004B7ED8" w:rsidP="001C4466">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Lai PPP būtu efektīvas un darba tirgū atzītas, būtiska ir nozares pārstāvju iesaiste visos programmu cikla posmos: no vajadzību identificēšanas un satura veidošanas līdz ieviešanai, vērtēšanai un ietekmes analīzei. Šāda sadarbība stiprina programmu uzticamību, atbilstību un praktisko pielietojamību, kā arī palīdz izglītības iestādēm laicīgi prognozēt prasmju</w:t>
      </w:r>
      <w:r w:rsidR="00390E2D" w:rsidRPr="007735EB">
        <w:rPr>
          <w:rFonts w:ascii="Times New Roman" w:eastAsia="Times New Roman" w:hAnsi="Times New Roman" w:cs="Times New Roman"/>
          <w:color w:val="000000" w:themeColor="text1"/>
          <w:sz w:val="24"/>
          <w:szCs w:val="24"/>
        </w:rPr>
        <w:t xml:space="preserve"> </w:t>
      </w:r>
      <w:r w:rsidRPr="007735EB">
        <w:rPr>
          <w:rFonts w:ascii="Times New Roman" w:eastAsia="Times New Roman" w:hAnsi="Times New Roman" w:cs="Times New Roman"/>
          <w:color w:val="000000" w:themeColor="text1"/>
          <w:sz w:val="24"/>
          <w:szCs w:val="24"/>
        </w:rPr>
        <w:t>pieprasījuma pārmaiņas un samazināt neatbilstības riskus starp akadēmisko piedāvājumu un darba tirgus realitāti</w:t>
      </w:r>
      <w:r w:rsidRPr="007735EB">
        <w:rPr>
          <w:rFonts w:ascii="Times New Roman" w:eastAsia="Times New Roman" w:hAnsi="Times New Roman" w:cs="Times New Roman"/>
          <w:color w:val="000000" w:themeColor="text1"/>
          <w:sz w:val="24"/>
          <w:szCs w:val="24"/>
          <w:vertAlign w:val="superscript"/>
        </w:rPr>
        <w:footnoteReference w:id="14"/>
      </w:r>
      <w:r w:rsidRPr="007735EB">
        <w:rPr>
          <w:rFonts w:ascii="Times New Roman" w:eastAsia="Times New Roman" w:hAnsi="Times New Roman" w:cs="Times New Roman"/>
          <w:color w:val="000000" w:themeColor="text1"/>
          <w:sz w:val="24"/>
          <w:szCs w:val="24"/>
          <w:vertAlign w:val="superscript"/>
        </w:rPr>
        <w:t>,</w:t>
      </w:r>
      <w:r w:rsidRPr="007735EB">
        <w:rPr>
          <w:rFonts w:ascii="Times New Roman" w:eastAsia="Times New Roman" w:hAnsi="Times New Roman" w:cs="Times New Roman"/>
          <w:color w:val="000000" w:themeColor="text1"/>
          <w:sz w:val="24"/>
          <w:szCs w:val="24"/>
          <w:vertAlign w:val="superscript"/>
        </w:rPr>
        <w:footnoteReference w:id="15"/>
      </w:r>
      <w:r w:rsidRPr="007735EB">
        <w:rPr>
          <w:rFonts w:ascii="Times New Roman" w:eastAsia="Times New Roman" w:hAnsi="Times New Roman" w:cs="Times New Roman"/>
          <w:color w:val="000000" w:themeColor="text1"/>
          <w:sz w:val="24"/>
          <w:szCs w:val="24"/>
          <w:vertAlign w:val="superscript"/>
        </w:rPr>
        <w:t>,</w:t>
      </w:r>
      <w:r w:rsidRPr="007735EB">
        <w:rPr>
          <w:rFonts w:ascii="Times New Roman" w:eastAsia="Times New Roman" w:hAnsi="Times New Roman" w:cs="Times New Roman"/>
          <w:color w:val="000000" w:themeColor="text1"/>
          <w:sz w:val="24"/>
          <w:szCs w:val="24"/>
          <w:vertAlign w:val="superscript"/>
        </w:rPr>
        <w:footnoteReference w:id="16"/>
      </w:r>
      <w:r w:rsidRPr="007735EB">
        <w:rPr>
          <w:rFonts w:ascii="Times New Roman" w:eastAsia="Times New Roman" w:hAnsi="Times New Roman" w:cs="Times New Roman"/>
          <w:color w:val="000000" w:themeColor="text1"/>
          <w:sz w:val="24"/>
          <w:szCs w:val="24"/>
        </w:rPr>
        <w:t>.</w:t>
      </w:r>
    </w:p>
    <w:p w14:paraId="5D8A28B0" w14:textId="77777777" w:rsidR="00AB05AE" w:rsidRPr="007735EB" w:rsidRDefault="004B7ED8" w:rsidP="001C4466">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Nozares vai darba devēju pārstāvju (uzņēmumu vadības, profesionālo asociāciju, nozaru padomju) iesaiste PPP uzskatāma kā priekšrocība dažādos tālāk uzskaitītajos aspektos:</w:t>
      </w:r>
    </w:p>
    <w:p w14:paraId="5D8A28B1" w14:textId="77777777" w:rsidR="00AB05AE" w:rsidRPr="007735EB" w:rsidRDefault="004B7ED8" w:rsidP="001C4466">
      <w:pPr>
        <w:numPr>
          <w:ilvl w:val="0"/>
          <w:numId w:val="22"/>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lastRenderedPageBreak/>
        <w:t>nozares pārstāvji var palīdzēt definēt, kuras prasmes un kompetences ir aktuālas darba tirgū, un nodrošināt, ka programmas saturs tiešām atbilst nozares vajadzībām;</w:t>
      </w:r>
    </w:p>
    <w:p w14:paraId="5D8A28B2" w14:textId="77777777" w:rsidR="00AB05AE" w:rsidRPr="007735EB" w:rsidRDefault="004B7ED8" w:rsidP="001C4466">
      <w:pPr>
        <w:numPr>
          <w:ilvl w:val="0"/>
          <w:numId w:val="22"/>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ja nozaru organizācijas vai uzņēmumi apstiprina PPP, tad tas palielina to uzticamību un stimulē to pieņemšanu darba devēju vidū</w:t>
      </w:r>
      <w:r w:rsidRPr="007735EB">
        <w:rPr>
          <w:rFonts w:ascii="Times New Roman" w:eastAsia="Times New Roman" w:hAnsi="Times New Roman" w:cs="Times New Roman"/>
          <w:color w:val="000000" w:themeColor="text1"/>
          <w:sz w:val="24"/>
          <w:szCs w:val="24"/>
          <w:vertAlign w:val="superscript"/>
        </w:rPr>
        <w:footnoteReference w:id="17"/>
      </w:r>
      <w:r w:rsidRPr="007735EB">
        <w:rPr>
          <w:rFonts w:ascii="Times New Roman" w:eastAsia="Times New Roman" w:hAnsi="Times New Roman" w:cs="Times New Roman"/>
          <w:color w:val="000000" w:themeColor="text1"/>
          <w:sz w:val="24"/>
          <w:szCs w:val="24"/>
        </w:rPr>
        <w:t>;</w:t>
      </w:r>
    </w:p>
    <w:p w14:paraId="5D8A28B3" w14:textId="77777777" w:rsidR="00AB05AE" w:rsidRPr="007735EB" w:rsidRDefault="004B7ED8" w:rsidP="001C4466">
      <w:pPr>
        <w:numPr>
          <w:ilvl w:val="0"/>
          <w:numId w:val="22"/>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nozares partneri var nodrošināt resursu un infrastruktūras atbalstu: prakses vietas, mentorus, reālus projektus, uzņēmumu datus vai tehnoloģijas;</w:t>
      </w:r>
    </w:p>
    <w:p w14:paraId="5D8A28B4" w14:textId="77777777" w:rsidR="00AB05AE" w:rsidRPr="007735EB" w:rsidRDefault="004B7ED8" w:rsidP="001C4466">
      <w:pPr>
        <w:numPr>
          <w:ilvl w:val="0"/>
          <w:numId w:val="22"/>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programmas satura izstrāde kopā ar nozares pārstāvjiem palīdz nodrošināt, ka mācību ceļš  ir saprotams un cieši integrēts ar praksi;</w:t>
      </w:r>
    </w:p>
    <w:p w14:paraId="5D8A28B5" w14:textId="77777777" w:rsidR="00AB05AE" w:rsidRPr="007735EB" w:rsidRDefault="004B7ED8" w:rsidP="001C4466">
      <w:pPr>
        <w:numPr>
          <w:ilvl w:val="0"/>
          <w:numId w:val="22"/>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nozares pārstāvju atgriezeniskā saite programmas izstrādes un realizēšanas laikā ļauj uzturēt kvalitāti, ātri koriģēt saturu, metodes un struktūru;</w:t>
      </w:r>
    </w:p>
    <w:p w14:paraId="5D8A28B6" w14:textId="77777777" w:rsidR="00AB05AE" w:rsidRPr="007735EB" w:rsidRDefault="004B7ED8" w:rsidP="001C4466">
      <w:pPr>
        <w:numPr>
          <w:ilvl w:val="0"/>
          <w:numId w:val="22"/>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uzņēmumi iesaistoties var palīdzēt ar mārketinga aktivitātēm, reklamējot programmu saviem darbiniekiem, piešķirot stipendijas vai piemērojot mācību maksas atlaides.</w:t>
      </w:r>
    </w:p>
    <w:p w14:paraId="5D8A28B7"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Veidojot PPP ciešā sadarbībā ar nozares pārstāvjiem, ir jāapzinās arī riski, kurus var mazināt, ievērojot šādus nosacījumus:</w:t>
      </w:r>
    </w:p>
    <w:p w14:paraId="5D8A28B8" w14:textId="77777777" w:rsidR="00AB05AE" w:rsidRPr="007735EB" w:rsidRDefault="004B7ED8" w:rsidP="001C4466">
      <w:pPr>
        <w:numPr>
          <w:ilvl w:val="0"/>
          <w:numId w:val="23"/>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iesaistīt vairākus vienas nozares uzņēmumus, lai izvairītos no viena dominējošā viedokļa;</w:t>
      </w:r>
    </w:p>
    <w:p w14:paraId="5D8A28B9" w14:textId="77777777" w:rsidR="00AB05AE" w:rsidRPr="007735EB" w:rsidRDefault="004B7ED8" w:rsidP="001C4466">
      <w:pPr>
        <w:numPr>
          <w:ilvl w:val="0"/>
          <w:numId w:val="23"/>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nozaru pārstāvjiem piedāvāt aktīvu lomu un atbildību, piemēram, kā mācību satura līdzautoriem, vērtēšanas procesa dalībniekiem vai mentoriem;</w:t>
      </w:r>
    </w:p>
    <w:p w14:paraId="5D8A28BA" w14:textId="77777777" w:rsidR="00AB05AE" w:rsidRPr="007735EB" w:rsidRDefault="004B7ED8" w:rsidP="001C4466">
      <w:pPr>
        <w:numPr>
          <w:ilvl w:val="0"/>
          <w:numId w:val="23"/>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slēgt sadarbības līgumus, kuros skaidri definēta iesaistes joma, pienākumi, pieejamie resursi un ieguvumi abām pusēm;</w:t>
      </w:r>
    </w:p>
    <w:p w14:paraId="5D8A28BB" w14:textId="77777777" w:rsidR="00AB05AE" w:rsidRPr="007735EB" w:rsidRDefault="004B7ED8" w:rsidP="001C4466">
      <w:pPr>
        <w:numPr>
          <w:ilvl w:val="0"/>
          <w:numId w:val="23"/>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nodrošināt nozares pārstāvjiem mācības vai konsultācijas par augstākās izglītības specifiku – mācību rezultātu formulēšanu, vērtēšanas kritērijiem, akadēmiskās ētikas un iekļaujošas pedagoģijas principiem;</w:t>
      </w:r>
    </w:p>
    <w:p w14:paraId="5D8A28BC" w14:textId="77777777" w:rsidR="00AB05AE" w:rsidRPr="007735EB" w:rsidRDefault="004B7ED8" w:rsidP="001C4466">
      <w:pPr>
        <w:numPr>
          <w:ilvl w:val="0"/>
          <w:numId w:val="23"/>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veikt regulāras konsultācijas ar nozari, fokusgrupu intervijas, tematiskas diskusijas, mērķtiecīgas aptaujas par programmas piemērotību, ietekmi un iespējamajiem uzlabojumiem;</w:t>
      </w:r>
    </w:p>
    <w:p w14:paraId="5D8A28BD" w14:textId="77777777" w:rsidR="00AB05AE" w:rsidRPr="007735EB" w:rsidRDefault="004B7ED8" w:rsidP="001C4466">
      <w:pPr>
        <w:numPr>
          <w:ilvl w:val="0"/>
          <w:numId w:val="23"/>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veidot padomdevēju padomes vai darba grupas, kurās nozares pārstāvji tiek iesaistīti ilgtermiņā un sistemātiski.</w:t>
      </w:r>
    </w:p>
    <w:p w14:paraId="5D8A28BE" w14:textId="15A80D09" w:rsidR="00AB05AE" w:rsidRPr="007735EB" w:rsidRDefault="004B7ED8" w:rsidP="001C4466">
      <w:pPr>
        <w:spacing w:before="120" w:after="120"/>
        <w:ind w:left="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Papildu ieteikumi efektīvai sadarbībai:</w:t>
      </w:r>
    </w:p>
    <w:p w14:paraId="5D8A28BF" w14:textId="77777777" w:rsidR="00AB05AE" w:rsidRPr="007735EB" w:rsidRDefault="004B7ED8" w:rsidP="001C4466">
      <w:pPr>
        <w:numPr>
          <w:ilvl w:val="0"/>
          <w:numId w:val="24"/>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noteikt skaidru pārvaldības struktūru, kurā nozares pārstāvjiem ir līdzdalība lēmumu pieņemšanā (piemēram, programmu padomēs, kvalitātes novērtēšanas grupās);</w:t>
      </w:r>
    </w:p>
    <w:p w14:paraId="5D8A28C0" w14:textId="77777777" w:rsidR="00AB05AE" w:rsidRPr="007735EB" w:rsidRDefault="004B7ED8" w:rsidP="001C4466">
      <w:pPr>
        <w:numPr>
          <w:ilvl w:val="0"/>
          <w:numId w:val="24"/>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iesaistīt nozares ekspertus mācību procesā kā vieslektorus, mentorus vai projektu vadītājus;</w:t>
      </w:r>
    </w:p>
    <w:p w14:paraId="5D8A28C1" w14:textId="77777777" w:rsidR="00AB05AE" w:rsidRPr="007735EB" w:rsidRDefault="004B7ED8" w:rsidP="001C4466">
      <w:pPr>
        <w:numPr>
          <w:ilvl w:val="0"/>
          <w:numId w:val="24"/>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dokumentēt un publicēt sadarbības rezultātus, tostarp nozares lomu satura izstrādē vai profesionālo situāciju risināšanā;</w:t>
      </w:r>
    </w:p>
    <w:p w14:paraId="5D8A28C2" w14:textId="77777777" w:rsidR="00AB05AE" w:rsidRPr="007735EB" w:rsidRDefault="004B7ED8" w:rsidP="001C4466">
      <w:pPr>
        <w:numPr>
          <w:ilvl w:val="0"/>
          <w:numId w:val="24"/>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stimulēt uzņēmumu līdzdalību ar reputācijas, sadarbības vai ekonomiskajiem ieguvumiem, piemēram, apliecinot partnerību mārketinga materiālos vai sniedzot iespējas virzīt savus darbiniekus uz mācībām ar īpašiem nosacījumiem.</w:t>
      </w:r>
    </w:p>
    <w:p w14:paraId="5D8A28C3" w14:textId="77777777" w:rsidR="00AB05AE" w:rsidRPr="007735EB" w:rsidRDefault="004B7ED8" w:rsidP="001C4466">
      <w:pPr>
        <w:spacing w:before="120" w:after="120"/>
        <w:ind w:left="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Starptautiskās prakses piemēri:</w:t>
      </w:r>
    </w:p>
    <w:p w14:paraId="5D8A28C4" w14:textId="77777777" w:rsidR="00AB05AE" w:rsidRPr="007735EB" w:rsidRDefault="004B7ED8" w:rsidP="007735EB">
      <w:pPr>
        <w:numPr>
          <w:ilvl w:val="0"/>
          <w:numId w:val="7"/>
        </w:numP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lastRenderedPageBreak/>
        <w:t>Igaunijas piemērs</w:t>
      </w:r>
      <w:r w:rsidRPr="007735EB">
        <w:rPr>
          <w:rFonts w:ascii="Times New Roman" w:eastAsia="Times New Roman" w:hAnsi="Times New Roman" w:cs="Times New Roman"/>
          <w:color w:val="000000" w:themeColor="text1"/>
          <w:sz w:val="24"/>
          <w:szCs w:val="24"/>
          <w:vertAlign w:val="superscript"/>
        </w:rPr>
        <w:footnoteReference w:id="18"/>
      </w:r>
    </w:p>
    <w:p w14:paraId="5D8A28C5"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Igaunija attīsta mikrokvalifikāciju politiku kā daļu no plašākas stratēģijas prasmju attīstīšanai un mūžizglītības veicināšanai. Valsts līmenī mikrokvalifikācijas tiek definētas kā elastīgi, mērķēti mācību risinājumi, kas sniedz iespēju ātri iegūt darba tirgum atbilstošas kompetences, īpaši pieaugušajiem, kuri vēlas pārkvalificēties vai uzlabot konkrētas prasmes. Mikrokvalifikācijas primāri paredzētas strādājošajiem un pieaugušajiem izglītojamajiem, kuriem nepieciešama ātra, profesionāli pielietojama prasmju apguve. Mikrokvalifikāciju izstrādē regulāri tiek iesaistīti nozares pārstāvji (darba devēji, asociācijas), lai nodrošinātu, ka mācību saturs atbilst reālām prasmju vajadzībām. Uzņēmumi palīdz noteikt mācību rezultātus un bieži piedāvā sadarbību īstenošanā, piemēram, prakses vietas vai mentorus.</w:t>
      </w:r>
    </w:p>
    <w:p w14:paraId="5D8A28C6" w14:textId="77777777" w:rsidR="00AB05AE" w:rsidRPr="007735EB" w:rsidRDefault="004B7ED8" w:rsidP="007735EB">
      <w:pPr>
        <w:numPr>
          <w:ilvl w:val="0"/>
          <w:numId w:val="7"/>
        </w:numP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Īrijas piemērs: “MicroCreds” projekts</w:t>
      </w:r>
      <w:r w:rsidRPr="007735EB">
        <w:rPr>
          <w:rFonts w:ascii="Times New Roman" w:eastAsia="Times New Roman" w:hAnsi="Times New Roman" w:cs="Times New Roman"/>
          <w:color w:val="000000" w:themeColor="text1"/>
          <w:sz w:val="24"/>
          <w:szCs w:val="24"/>
          <w:vertAlign w:val="superscript"/>
        </w:rPr>
        <w:footnoteReference w:id="19"/>
      </w:r>
    </w:p>
    <w:p w14:paraId="5D8A28C7"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Īrijas augstākās izglītības iestādes sadarbībā ar stratēģiskiem industrijas partneriem (IBM, LinkedIn Learning, Skillnet Ireland) un valsts institūcijām izstrādājušas kopēju pieeju mikrokvalifikāciju attīstībai. Projekta mērķis ir veidot vienotu nacionālu ietvaru, kas ļauj augstākās izglītības iestādēm savstarpēji sadarboties, izstrādāt, atzīt un validēt mikrokvalifikācijas atbilstoši aktuālām darba tirgus vajadzībām. Nozīmīgākā pievienotā vērtība ir ilgtspējīga partnerība ar industriju, kas ļauj ne tikai reaģēt uz prasmju pieprasījumu, bet arī prognozēt nākotnes vajadzības, veicinot mūžizglītības ekosistēmas izaugsmi.</w:t>
      </w:r>
    </w:p>
    <w:p w14:paraId="5D8A28C8" w14:textId="77777777" w:rsidR="00AB05AE" w:rsidRPr="007735EB" w:rsidRDefault="004B7ED8" w:rsidP="007735EB">
      <w:pPr>
        <w:numPr>
          <w:ilvl w:val="0"/>
          <w:numId w:val="7"/>
        </w:numP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Somijas piemērs: “Digivisio 2030” projekts</w:t>
      </w:r>
      <w:r w:rsidRPr="007735EB">
        <w:rPr>
          <w:rFonts w:ascii="Times New Roman" w:eastAsia="Times New Roman" w:hAnsi="Times New Roman" w:cs="Times New Roman"/>
          <w:color w:val="000000" w:themeColor="text1"/>
          <w:sz w:val="24"/>
          <w:szCs w:val="24"/>
          <w:vertAlign w:val="superscript"/>
        </w:rPr>
        <w:footnoteReference w:id="20"/>
      </w:r>
    </w:p>
    <w:p w14:paraId="5D8A28C9"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Šis ir valsts mēroga digitālās transformācijas projekts, kura ietvaros visām Somijas augstākās izglītības iestādēm tiek veidota kopīga, atvērta un digitāla vide mikrokvalifikācijām. Projektā definēti trīs mērķi:</w:t>
      </w:r>
    </w:p>
    <w:p w14:paraId="5D8A28CA" w14:textId="77777777" w:rsidR="00AB05AE" w:rsidRPr="007735EB" w:rsidRDefault="004B7ED8" w:rsidP="001C4466">
      <w:pPr>
        <w:numPr>
          <w:ilvl w:val="0"/>
          <w:numId w:val="2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radīt vienotu ekosistēmu digitālajai mācīšanās pieredzei un kompetenču apliecinājumiem,</w:t>
      </w:r>
    </w:p>
    <w:p w14:paraId="5D8A28CB" w14:textId="77777777" w:rsidR="00AB05AE" w:rsidRPr="007735EB" w:rsidRDefault="004B7ED8" w:rsidP="001C4466">
      <w:pPr>
        <w:numPr>
          <w:ilvl w:val="0"/>
          <w:numId w:val="2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nodrošināt piekļuvi izglītībai visiem iedzīvotājiem,</w:t>
      </w:r>
    </w:p>
    <w:p w14:paraId="5D8A28CC" w14:textId="77777777" w:rsidR="00AB05AE" w:rsidRPr="007735EB" w:rsidRDefault="004B7ED8" w:rsidP="001C4466">
      <w:pPr>
        <w:numPr>
          <w:ilvl w:val="0"/>
          <w:numId w:val="25"/>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veidot ciešu sadarbību starp akadēmisko vidi un darba tirgu.</w:t>
      </w:r>
    </w:p>
    <w:p w14:paraId="5D8A28CE" w14:textId="52CED786" w:rsidR="00AB05AE" w:rsidRPr="007735EB" w:rsidRDefault="004B7ED8" w:rsidP="001C4466">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Nozares pārstāvji šajā projektā tiek uzskatīti par pilntiesīgiem kopradītājiem, kas piedalās visos mikrokvalifikācijas dzīves cikla posmos – no satura līdz izvērtējumam. Viņi arī aktīvi izmanto platformu “Studyinfo+”, kas apvieno programmas no visām augstskolām un nodrošina pārskatāmību gan izglītojamajiem, gan darba devējiem.</w:t>
      </w:r>
    </w:p>
    <w:p w14:paraId="5D8A28D0" w14:textId="74F67239" w:rsidR="00AB05AE" w:rsidRPr="007735EB" w:rsidRDefault="007735EB" w:rsidP="001C4466">
      <w:pPr>
        <w:pStyle w:val="Heading2"/>
        <w:numPr>
          <w:ilvl w:val="1"/>
          <w:numId w:val="21"/>
        </w:numPr>
        <w:spacing w:before="120" w:after="120" w:line="259" w:lineRule="auto"/>
        <w:ind w:left="1077" w:hanging="357"/>
        <w:rPr>
          <w:rFonts w:ascii="Times New Roman" w:eastAsia="Times New Roman" w:hAnsi="Times New Roman" w:cs="Times New Roman"/>
          <w:b/>
          <w:bCs/>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 </w:t>
      </w:r>
      <w:bookmarkStart w:id="5" w:name="_Toc218505003"/>
      <w:r w:rsidRPr="007735EB">
        <w:rPr>
          <w:rFonts w:ascii="Times New Roman" w:eastAsia="Times New Roman" w:hAnsi="Times New Roman" w:cs="Times New Roman"/>
          <w:b/>
          <w:bCs/>
          <w:color w:val="000000" w:themeColor="text1"/>
          <w:sz w:val="24"/>
          <w:szCs w:val="24"/>
        </w:rPr>
        <w:t>Programmas dalībnieku darba slodze</w:t>
      </w:r>
      <w:bookmarkEnd w:id="5"/>
    </w:p>
    <w:p w14:paraId="5D8A28D1"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Programmas dalībnieku darba noslodze, apgūstot profesionālās pilnveides programmās augstākās izglītības iestādēs, tiek organizēta atbilstoši Augstskolu likumam</w:t>
      </w:r>
      <w:r w:rsidRPr="007735EB">
        <w:rPr>
          <w:rFonts w:ascii="Times New Roman" w:eastAsia="Times New Roman" w:hAnsi="Times New Roman" w:cs="Times New Roman"/>
          <w:color w:val="000000" w:themeColor="text1"/>
          <w:sz w:val="24"/>
          <w:szCs w:val="24"/>
          <w:vertAlign w:val="superscript"/>
        </w:rPr>
        <w:footnoteReference w:id="21"/>
      </w:r>
      <w:r w:rsidRPr="007735EB">
        <w:rPr>
          <w:rFonts w:ascii="Times New Roman" w:eastAsia="Times New Roman" w:hAnsi="Times New Roman" w:cs="Times New Roman"/>
          <w:color w:val="000000" w:themeColor="text1"/>
          <w:sz w:val="24"/>
          <w:szCs w:val="24"/>
        </w:rPr>
        <w:t xml:space="preserve"> un Ministru kabineta noteikumiem par valsts profesionālās augstākās izglītības standartu</w:t>
      </w:r>
      <w:r w:rsidRPr="007735EB">
        <w:rPr>
          <w:rFonts w:ascii="Times New Roman" w:eastAsia="Times New Roman" w:hAnsi="Times New Roman" w:cs="Times New Roman"/>
          <w:color w:val="000000" w:themeColor="text1"/>
          <w:sz w:val="24"/>
          <w:szCs w:val="24"/>
          <w:vertAlign w:val="superscript"/>
        </w:rPr>
        <w:footnoteReference w:id="22"/>
      </w:r>
      <w:r w:rsidRPr="007735EB">
        <w:rPr>
          <w:rFonts w:ascii="Times New Roman" w:eastAsia="Times New Roman" w:hAnsi="Times New Roman" w:cs="Times New Roman"/>
          <w:color w:val="000000" w:themeColor="text1"/>
          <w:sz w:val="24"/>
          <w:szCs w:val="24"/>
        </w:rPr>
        <w:t xml:space="preserve">. Izglītojamo darba noslodze tiek pielāgota programmas noteiktajiem mērķiem un </w:t>
      </w:r>
      <w:r w:rsidRPr="007735EB">
        <w:rPr>
          <w:rFonts w:ascii="Times New Roman" w:eastAsia="Times New Roman" w:hAnsi="Times New Roman" w:cs="Times New Roman"/>
          <w:color w:val="000000" w:themeColor="text1"/>
          <w:sz w:val="24"/>
          <w:szCs w:val="24"/>
        </w:rPr>
        <w:lastRenderedPageBreak/>
        <w:t>sasniedzamajiem mācību rezultātiem (zināšanām, prasmēm un kompetencēm), nodrošinot optimālu teorijas un prakses līdzsvaru, kā arī izglītojamo iespējām apgūt nepieciešamās zināšanas un prasmes tam paredzētajā laika posmā.</w:t>
      </w:r>
    </w:p>
    <w:p w14:paraId="5D8A28D2"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Profesionālās pilnveides programmas augstākās izglītības līmenī ietver noteiktu laika apjomu akadēmisko stundu formātā, kurā iekļautas gan teorētiskās nodarbības, gan praktiskie uzdevumi un patstāvīgais darbs.</w:t>
      </w:r>
    </w:p>
    <w:p w14:paraId="5D8A28D3"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Par sekmīgu profesionālās pilnveides programmas augstākās izglītības iestādē apguvi, programmas klausītājam tiek piešķirti ECTS</w:t>
      </w:r>
      <w:r w:rsidRPr="007735EB">
        <w:rPr>
          <w:rFonts w:ascii="Times New Roman" w:eastAsia="Times New Roman" w:hAnsi="Times New Roman" w:cs="Times New Roman"/>
          <w:color w:val="000000" w:themeColor="text1"/>
          <w:sz w:val="24"/>
          <w:szCs w:val="24"/>
          <w:vertAlign w:val="superscript"/>
        </w:rPr>
        <w:footnoteReference w:id="23"/>
      </w:r>
      <w:r w:rsidRPr="007735EB">
        <w:rPr>
          <w:rFonts w:ascii="Times New Roman" w:eastAsia="Times New Roman" w:hAnsi="Times New Roman" w:cs="Times New Roman"/>
          <w:color w:val="000000" w:themeColor="text1"/>
          <w:sz w:val="24"/>
          <w:szCs w:val="24"/>
        </w:rPr>
        <w:t xml:space="preserve"> kredītpunkti. Tie augstākās izglītības telpā ir mācību darba apjoma </w:t>
      </w:r>
      <w:r w:rsidRPr="007735EB">
        <w:rPr>
          <w:rFonts w:ascii="Times New Roman" w:eastAsia="Times New Roman" w:hAnsi="Times New Roman" w:cs="Times New Roman"/>
          <w:color w:val="000000" w:themeColor="text1"/>
          <w:sz w:val="24"/>
          <w:szCs w:val="24"/>
          <w:highlight w:val="white"/>
        </w:rPr>
        <w:t xml:space="preserve">uzskaites vienības, </w:t>
      </w:r>
      <w:r w:rsidRPr="007735EB">
        <w:rPr>
          <w:rFonts w:ascii="Times New Roman" w:eastAsia="Times New Roman" w:hAnsi="Times New Roman" w:cs="Times New Roman"/>
          <w:color w:val="000000" w:themeColor="text1"/>
          <w:sz w:val="24"/>
          <w:szCs w:val="24"/>
        </w:rPr>
        <w:t>kas i</w:t>
      </w:r>
      <w:r w:rsidRPr="007735EB">
        <w:rPr>
          <w:rFonts w:ascii="Times New Roman" w:eastAsia="Times New Roman" w:hAnsi="Times New Roman" w:cs="Times New Roman"/>
          <w:color w:val="000000" w:themeColor="text1"/>
          <w:sz w:val="24"/>
          <w:szCs w:val="24"/>
          <w:highlight w:val="white"/>
        </w:rPr>
        <w:t xml:space="preserve">zteiktas, pamatojoties uz programmā vai tās daļā definētajiem </w:t>
      </w:r>
      <w:r w:rsidRPr="007735EB">
        <w:rPr>
          <w:rFonts w:ascii="Times New Roman" w:eastAsia="Times New Roman" w:hAnsi="Times New Roman" w:cs="Times New Roman"/>
          <w:color w:val="000000" w:themeColor="text1"/>
          <w:sz w:val="24"/>
          <w:szCs w:val="24"/>
        </w:rPr>
        <w:t xml:space="preserve">sasniedzamajiem mācību </w:t>
      </w:r>
      <w:r w:rsidRPr="007735EB">
        <w:rPr>
          <w:rFonts w:ascii="Times New Roman" w:eastAsia="Times New Roman" w:hAnsi="Times New Roman" w:cs="Times New Roman"/>
          <w:color w:val="000000" w:themeColor="text1"/>
          <w:sz w:val="24"/>
          <w:szCs w:val="24"/>
          <w:highlight w:val="white"/>
        </w:rPr>
        <w:t>rezultātiem un ar to sasniegšanu saistīto</w:t>
      </w:r>
      <w:r w:rsidRPr="007735EB">
        <w:rPr>
          <w:rFonts w:ascii="Times New Roman" w:eastAsia="Times New Roman" w:hAnsi="Times New Roman" w:cs="Times New Roman"/>
          <w:color w:val="000000" w:themeColor="text1"/>
          <w:sz w:val="24"/>
          <w:szCs w:val="24"/>
        </w:rPr>
        <w:t xml:space="preserve"> mācību </w:t>
      </w:r>
      <w:r w:rsidRPr="007735EB">
        <w:rPr>
          <w:rFonts w:ascii="Times New Roman" w:eastAsia="Times New Roman" w:hAnsi="Times New Roman" w:cs="Times New Roman"/>
          <w:color w:val="000000" w:themeColor="text1"/>
          <w:sz w:val="24"/>
          <w:szCs w:val="24"/>
          <w:highlight w:val="white"/>
        </w:rPr>
        <w:t>slodzi.</w:t>
      </w:r>
      <w:r w:rsidRPr="007735EB">
        <w:rPr>
          <w:rFonts w:ascii="Times New Roman" w:eastAsia="Arial" w:hAnsi="Times New Roman" w:cs="Times New Roman"/>
          <w:color w:val="000000" w:themeColor="text1"/>
          <w:sz w:val="24"/>
          <w:szCs w:val="24"/>
          <w:highlight w:val="white"/>
        </w:rPr>
        <w:t xml:space="preserve"> </w:t>
      </w:r>
      <w:r w:rsidRPr="007735EB">
        <w:rPr>
          <w:rFonts w:ascii="Times New Roman" w:eastAsia="Times New Roman" w:hAnsi="Times New Roman" w:cs="Times New Roman"/>
          <w:color w:val="000000" w:themeColor="text1"/>
          <w:sz w:val="24"/>
          <w:szCs w:val="24"/>
          <w:highlight w:val="white"/>
        </w:rPr>
        <w:t xml:space="preserve">Viens ECTS kredītpunkts atbilst 25 - 30 akadēmisko stundu darba apjomam, kur vienas </w:t>
      </w:r>
      <w:r w:rsidRPr="007735EB">
        <w:rPr>
          <w:rFonts w:ascii="Times New Roman" w:eastAsia="Times New Roman" w:hAnsi="Times New Roman" w:cs="Times New Roman"/>
          <w:color w:val="000000" w:themeColor="text1"/>
          <w:sz w:val="24"/>
          <w:szCs w:val="24"/>
        </w:rPr>
        <w:t>stundas</w:t>
      </w:r>
      <w:r w:rsidRPr="007735EB">
        <w:rPr>
          <w:rFonts w:ascii="Times New Roman" w:eastAsia="Times New Roman" w:hAnsi="Times New Roman" w:cs="Times New Roman"/>
          <w:color w:val="000000" w:themeColor="text1"/>
          <w:sz w:val="24"/>
          <w:szCs w:val="24"/>
          <w:highlight w:val="white"/>
        </w:rPr>
        <w:t xml:space="preserve"> ilgums ir 45 minūtes.</w:t>
      </w:r>
      <w:r w:rsidRPr="007735EB">
        <w:rPr>
          <w:rFonts w:ascii="Times New Roman" w:eastAsia="Times New Roman" w:hAnsi="Times New Roman" w:cs="Times New Roman"/>
          <w:color w:val="000000" w:themeColor="text1"/>
          <w:sz w:val="24"/>
          <w:szCs w:val="24"/>
        </w:rPr>
        <w:t xml:space="preserve"> </w:t>
      </w:r>
      <w:r w:rsidRPr="007735EB">
        <w:rPr>
          <w:rFonts w:ascii="Times New Roman" w:eastAsia="Times New Roman" w:hAnsi="Times New Roman" w:cs="Times New Roman"/>
          <w:color w:val="000000" w:themeColor="text1"/>
          <w:sz w:val="24"/>
          <w:szCs w:val="24"/>
          <w:highlight w:val="white"/>
        </w:rPr>
        <w:t>ECTS kredītpunkti tiek izteikti veselos skaitļos.</w:t>
      </w:r>
    </w:p>
    <w:p w14:paraId="5D8A28D4" w14:textId="17EE8B64" w:rsidR="00AB05AE" w:rsidRPr="001C4466" w:rsidRDefault="001C4466" w:rsidP="001C4466">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7" w:name="_Toc218505004"/>
      <w:r w:rsidRPr="001C4466">
        <w:rPr>
          <w:rFonts w:ascii="Times New Roman" w:eastAsia="Times New Roman" w:hAnsi="Times New Roman" w:cs="Times New Roman"/>
          <w:b/>
          <w:bCs/>
          <w:color w:val="000000" w:themeColor="text1"/>
          <w:sz w:val="24"/>
          <w:szCs w:val="24"/>
        </w:rPr>
        <w:t>Programmas dizains</w:t>
      </w:r>
      <w:bookmarkEnd w:id="7"/>
    </w:p>
    <w:p w14:paraId="5D8A28D5"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Profesionālās pilnveides programmas dizains balstās uz skaidru mērķu definēšanu, mācību saturu pielāgojot dalībnieku vajadzībām un praktiskajam pielietojumam. Programmā tiek iekļauti nozarē aktuāli temati, kas attīsta profesionālās kompetences, nodrošinot teorētisko zināšanu apguvi un praktisko iemaņu attīstību. Dizainā īpaša uzmanība tiek pievērsta mācību metožu dažādībai un efektivitātei, lai veicinātu mācību dalībnieku aktīvu iesaisti un zināšanu nostiprināšanu. Tāpat svarīgi ir nodrošināt programmas elastīgumu, kas ļauj pielāgoties mainīgām profesionālajām prasībām, kā arī mācību dalībnieku individuālajām vajadzībām.</w:t>
      </w:r>
    </w:p>
    <w:p w14:paraId="5D8A28D6"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Programmas dalībnieku motivācijā, pašrefleksijā un iesaistē mācīšanās procesā nozīmīga stimulējoša loma ir studentcentrētaai pieejai. Tas nozīmē rūpīgu un pārdomātu programmu izveidi un īstenošanu, un rezultātu izvērtēšanu. Lai īstenotu studentcentrātu pieeju, atbilstoši Standartiem un vadlīnijām kvalitātes nodrošināšanai Eiropas augstākās izglītības telpā (ESG)</w:t>
      </w:r>
      <w:r w:rsidRPr="007735EB">
        <w:rPr>
          <w:rFonts w:ascii="Times New Roman" w:eastAsia="Times New Roman" w:hAnsi="Times New Roman" w:cs="Times New Roman"/>
          <w:color w:val="000000" w:themeColor="text1"/>
          <w:sz w:val="24"/>
          <w:szCs w:val="24"/>
          <w:vertAlign w:val="superscript"/>
        </w:rPr>
        <w:footnoteReference w:id="24"/>
      </w:r>
      <w:r w:rsidRPr="007735EB">
        <w:rPr>
          <w:rFonts w:ascii="Times New Roman" w:eastAsia="Times New Roman" w:hAnsi="Times New Roman" w:cs="Times New Roman"/>
          <w:color w:val="000000" w:themeColor="text1"/>
          <w:sz w:val="24"/>
          <w:szCs w:val="24"/>
        </w:rPr>
        <w:t xml:space="preserve"> jāplāno un jāņem vērā šādi aspekti:</w:t>
      </w:r>
    </w:p>
    <w:p w14:paraId="5D8A28D7" w14:textId="77777777" w:rsidR="00AB05AE" w:rsidRPr="001C4466" w:rsidRDefault="004B7ED8" w:rsidP="001C4466">
      <w:pPr>
        <w:pStyle w:val="ListParagraph"/>
        <w:numPr>
          <w:ilvl w:val="0"/>
          <w:numId w:val="26"/>
        </w:numPr>
        <w:pBdr>
          <w:top w:val="nil"/>
          <w:left w:val="nil"/>
          <w:bottom w:val="nil"/>
          <w:right w:val="nil"/>
          <w:between w:val="nil"/>
        </w:pBdr>
        <w:spacing w:before="120" w:after="120"/>
        <w:ind w:left="1077" w:hanging="357"/>
        <w:jc w:val="both"/>
        <w:rPr>
          <w:rFonts w:ascii="Times New Roman" w:eastAsia="Times New Roman" w:hAnsi="Times New Roman" w:cs="Times New Roman"/>
          <w:color w:val="000000" w:themeColor="text1"/>
          <w:sz w:val="24"/>
          <w:szCs w:val="24"/>
        </w:rPr>
      </w:pPr>
      <w:r w:rsidRPr="001C4466">
        <w:rPr>
          <w:rFonts w:ascii="Times New Roman" w:eastAsia="Times New Roman" w:hAnsi="Times New Roman" w:cs="Times New Roman"/>
          <w:color w:val="000000" w:themeColor="text1"/>
          <w:sz w:val="24"/>
          <w:szCs w:val="24"/>
        </w:rPr>
        <w:t>programmas dalībnieku un viņu vajadzību daudzveidība, veidojot piemērotus mācīšanās ceļus;</w:t>
      </w:r>
    </w:p>
    <w:p w14:paraId="5D8A28D8" w14:textId="77777777" w:rsidR="00AB05AE" w:rsidRPr="001C4466" w:rsidRDefault="004B7ED8" w:rsidP="001C4466">
      <w:pPr>
        <w:pStyle w:val="ListParagraph"/>
        <w:numPr>
          <w:ilvl w:val="0"/>
          <w:numId w:val="26"/>
        </w:numPr>
        <w:pBdr>
          <w:top w:val="nil"/>
          <w:left w:val="nil"/>
          <w:bottom w:val="nil"/>
          <w:right w:val="nil"/>
          <w:between w:val="nil"/>
        </w:pBdr>
        <w:spacing w:before="120" w:after="120"/>
        <w:ind w:left="1077" w:hanging="357"/>
        <w:jc w:val="both"/>
        <w:rPr>
          <w:rFonts w:ascii="Times New Roman" w:eastAsia="Times New Roman" w:hAnsi="Times New Roman" w:cs="Times New Roman"/>
          <w:color w:val="000000" w:themeColor="text1"/>
          <w:sz w:val="24"/>
          <w:szCs w:val="24"/>
        </w:rPr>
      </w:pPr>
      <w:r w:rsidRPr="001C4466">
        <w:rPr>
          <w:rFonts w:ascii="Times New Roman" w:eastAsia="Times New Roman" w:hAnsi="Times New Roman" w:cs="Times New Roman"/>
          <w:color w:val="000000" w:themeColor="text1"/>
          <w:sz w:val="24"/>
          <w:szCs w:val="24"/>
        </w:rPr>
        <w:t>dažādi programmu īstenošanas veidi, salāgojot nepieciešamību ar iespējām;</w:t>
      </w:r>
    </w:p>
    <w:p w14:paraId="5D8A28D9" w14:textId="77777777" w:rsidR="00AB05AE" w:rsidRPr="001C4466" w:rsidRDefault="004B7ED8" w:rsidP="001C4466">
      <w:pPr>
        <w:pStyle w:val="ListParagraph"/>
        <w:numPr>
          <w:ilvl w:val="0"/>
          <w:numId w:val="26"/>
        </w:numPr>
        <w:pBdr>
          <w:top w:val="nil"/>
          <w:left w:val="nil"/>
          <w:bottom w:val="nil"/>
          <w:right w:val="nil"/>
          <w:between w:val="nil"/>
        </w:pBdr>
        <w:spacing w:before="120" w:after="120"/>
        <w:ind w:left="1077" w:hanging="357"/>
        <w:jc w:val="both"/>
        <w:rPr>
          <w:rFonts w:ascii="Times New Roman" w:eastAsia="Times New Roman" w:hAnsi="Times New Roman" w:cs="Times New Roman"/>
          <w:color w:val="000000" w:themeColor="text1"/>
          <w:sz w:val="24"/>
          <w:szCs w:val="24"/>
        </w:rPr>
      </w:pPr>
      <w:r w:rsidRPr="001C4466">
        <w:rPr>
          <w:rFonts w:ascii="Times New Roman" w:eastAsia="Times New Roman" w:hAnsi="Times New Roman" w:cs="Times New Roman"/>
          <w:color w:val="000000" w:themeColor="text1"/>
          <w:sz w:val="24"/>
          <w:szCs w:val="24"/>
        </w:rPr>
        <w:t>daudzveidīgas pedagoģiskās metodes, kas atbilst apstākļiem (dalībnieku iespējām un vajadzībām, programmas nozares specifikai utml.);</w:t>
      </w:r>
    </w:p>
    <w:p w14:paraId="5D8A28DA" w14:textId="77777777" w:rsidR="00AB05AE" w:rsidRPr="001C4466" w:rsidRDefault="004B7ED8" w:rsidP="001C4466">
      <w:pPr>
        <w:pStyle w:val="ListParagraph"/>
        <w:numPr>
          <w:ilvl w:val="0"/>
          <w:numId w:val="26"/>
        </w:numPr>
        <w:pBdr>
          <w:top w:val="nil"/>
          <w:left w:val="nil"/>
          <w:bottom w:val="nil"/>
          <w:right w:val="nil"/>
          <w:between w:val="nil"/>
        </w:pBdr>
        <w:spacing w:before="120" w:after="120"/>
        <w:ind w:left="1077" w:hanging="357"/>
        <w:jc w:val="both"/>
        <w:rPr>
          <w:rFonts w:ascii="Times New Roman" w:eastAsia="Times New Roman" w:hAnsi="Times New Roman" w:cs="Times New Roman"/>
          <w:color w:val="000000" w:themeColor="text1"/>
          <w:sz w:val="24"/>
          <w:szCs w:val="24"/>
        </w:rPr>
      </w:pPr>
      <w:r w:rsidRPr="001C4466">
        <w:rPr>
          <w:rFonts w:ascii="Times New Roman" w:eastAsia="Times New Roman" w:hAnsi="Times New Roman" w:cs="Times New Roman"/>
          <w:color w:val="000000" w:themeColor="text1"/>
          <w:sz w:val="24"/>
          <w:szCs w:val="24"/>
        </w:rPr>
        <w:t>mācīšanas veidu un pedagoģisko metožu regulārs novērtējums un, ja nepieciešams, piemērošana;</w:t>
      </w:r>
    </w:p>
    <w:p w14:paraId="5D8A28DB" w14:textId="77777777" w:rsidR="00AB05AE" w:rsidRPr="001C4466" w:rsidRDefault="004B7ED8" w:rsidP="001C4466">
      <w:pPr>
        <w:pStyle w:val="ListParagraph"/>
        <w:numPr>
          <w:ilvl w:val="0"/>
          <w:numId w:val="26"/>
        </w:numPr>
        <w:pBdr>
          <w:top w:val="nil"/>
          <w:left w:val="nil"/>
          <w:bottom w:val="nil"/>
          <w:right w:val="nil"/>
          <w:between w:val="nil"/>
        </w:pBdr>
        <w:spacing w:before="120" w:after="120"/>
        <w:ind w:left="1077" w:hanging="357"/>
        <w:jc w:val="both"/>
        <w:rPr>
          <w:rFonts w:ascii="Times New Roman" w:eastAsia="Times New Roman" w:hAnsi="Times New Roman" w:cs="Times New Roman"/>
          <w:color w:val="000000" w:themeColor="text1"/>
          <w:sz w:val="24"/>
          <w:szCs w:val="24"/>
        </w:rPr>
      </w:pPr>
      <w:r w:rsidRPr="001C4466">
        <w:rPr>
          <w:rFonts w:ascii="Times New Roman" w:eastAsia="Times New Roman" w:hAnsi="Times New Roman" w:cs="Times New Roman"/>
          <w:color w:val="000000" w:themeColor="text1"/>
          <w:sz w:val="24"/>
          <w:szCs w:val="24"/>
        </w:rPr>
        <w:t>programmas dalībnieka tieksmes uz patstāvīgumu veicināšana, tajā pašā laikā nodrošinot akadēmiskā personāla vadību un atbalstu;</w:t>
      </w:r>
    </w:p>
    <w:p w14:paraId="5D8A28DC" w14:textId="77777777" w:rsidR="00AB05AE" w:rsidRPr="001C4466" w:rsidRDefault="004B7ED8" w:rsidP="001C4466">
      <w:pPr>
        <w:pStyle w:val="ListParagraph"/>
        <w:numPr>
          <w:ilvl w:val="0"/>
          <w:numId w:val="26"/>
        </w:numPr>
        <w:pBdr>
          <w:top w:val="nil"/>
          <w:left w:val="nil"/>
          <w:bottom w:val="nil"/>
          <w:right w:val="nil"/>
          <w:between w:val="nil"/>
        </w:pBdr>
        <w:spacing w:before="120" w:after="120"/>
        <w:ind w:left="1077" w:hanging="357"/>
        <w:jc w:val="both"/>
        <w:rPr>
          <w:rFonts w:ascii="Times New Roman" w:eastAsia="Times New Roman" w:hAnsi="Times New Roman" w:cs="Times New Roman"/>
          <w:color w:val="000000" w:themeColor="text1"/>
          <w:sz w:val="24"/>
          <w:szCs w:val="24"/>
        </w:rPr>
      </w:pPr>
      <w:r w:rsidRPr="001C4466">
        <w:rPr>
          <w:rFonts w:ascii="Times New Roman" w:eastAsia="Times New Roman" w:hAnsi="Times New Roman" w:cs="Times New Roman"/>
          <w:color w:val="000000" w:themeColor="text1"/>
          <w:sz w:val="24"/>
          <w:szCs w:val="24"/>
        </w:rPr>
        <w:t>abpusēju cieņa programmas dalībnieka un akadēmiskā personāla attiecībās;</w:t>
      </w:r>
    </w:p>
    <w:p w14:paraId="5D8A28DD" w14:textId="77777777" w:rsidR="00AB05AE" w:rsidRPr="001C4466" w:rsidRDefault="004B7ED8" w:rsidP="001C4466">
      <w:pPr>
        <w:pStyle w:val="ListParagraph"/>
        <w:numPr>
          <w:ilvl w:val="0"/>
          <w:numId w:val="26"/>
        </w:numPr>
        <w:pBdr>
          <w:top w:val="nil"/>
          <w:left w:val="nil"/>
          <w:bottom w:val="nil"/>
          <w:right w:val="nil"/>
          <w:between w:val="nil"/>
        </w:pBdr>
        <w:spacing w:before="120" w:after="120"/>
        <w:ind w:left="1077" w:hanging="357"/>
        <w:jc w:val="both"/>
        <w:rPr>
          <w:rFonts w:ascii="Times New Roman" w:eastAsia="Times New Roman" w:hAnsi="Times New Roman" w:cs="Times New Roman"/>
          <w:color w:val="000000" w:themeColor="text1"/>
          <w:sz w:val="24"/>
          <w:szCs w:val="24"/>
        </w:rPr>
      </w:pPr>
      <w:r w:rsidRPr="001C4466">
        <w:rPr>
          <w:rFonts w:ascii="Times New Roman" w:eastAsia="Times New Roman" w:hAnsi="Times New Roman" w:cs="Times New Roman"/>
          <w:color w:val="000000" w:themeColor="text1"/>
          <w:sz w:val="24"/>
          <w:szCs w:val="24"/>
        </w:rPr>
        <w:t>atbilstošas procedūras programmas dalībnieka sūdzību risināšanai.</w:t>
      </w:r>
    </w:p>
    <w:p w14:paraId="5D8A28DE"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Nozīmīga loma studentcentrētā pieejā ir aktīvās mācīšanās metodēm, piemēram, diskusijām, gadījuma analīzei, lomu spēlēm. </w:t>
      </w:r>
    </w:p>
    <w:p w14:paraId="5D8A28DF"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lastRenderedPageBreak/>
        <w:t>Profesionālās pilnveides programmas darbības formas ir</w:t>
      </w:r>
      <w:r w:rsidRPr="007735EB">
        <w:rPr>
          <w:rFonts w:ascii="Times New Roman" w:eastAsia="Times New Roman" w:hAnsi="Times New Roman" w:cs="Times New Roman"/>
          <w:color w:val="000000" w:themeColor="text1"/>
          <w:sz w:val="24"/>
          <w:szCs w:val="24"/>
          <w:highlight w:val="white"/>
        </w:rPr>
        <w:t xml:space="preserve"> kontaktnodarbības un individuālās mācības.</w:t>
      </w:r>
      <w:r w:rsidRPr="007735EB">
        <w:rPr>
          <w:rFonts w:ascii="Times New Roman" w:eastAsia="Times New Roman" w:hAnsi="Times New Roman" w:cs="Times New Roman"/>
          <w:color w:val="000000" w:themeColor="text1"/>
          <w:sz w:val="24"/>
          <w:szCs w:val="24"/>
        </w:rPr>
        <w:t xml:space="preserve"> Kontaktnodarbība ir programmas akadēmiskā personāla un programmas dalībnieka tieša saskarsme, kas nodrošina profesionālas pilnveides programmas mērķu un uzdevumu sasniegšanu atbilstoši tās saturam un plānam. Kontaktnodarbības ilgums ir viena mācību stunda. Kontaktnodarbību veidi ir nodarbības, semināri, praktiskās nodarbības, laboratorijas darbi, ekskursijas, u. c. programmas satura apguves veidi. </w:t>
      </w:r>
    </w:p>
    <w:p w14:paraId="5D8A28E0"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Kontaktnodarbību apjoma sadalījumu nosaka atbilstoši profesionālas pilnveides programmas līmenim, ievērojot augstākās profesionālās izglītības īstenošanas nosacījumus</w:t>
      </w:r>
      <w:r w:rsidRPr="007735EB">
        <w:rPr>
          <w:rFonts w:ascii="Times New Roman" w:eastAsia="Times New Roman" w:hAnsi="Times New Roman" w:cs="Times New Roman"/>
          <w:color w:val="000000" w:themeColor="text1"/>
          <w:sz w:val="24"/>
          <w:szCs w:val="24"/>
          <w:vertAlign w:val="superscript"/>
        </w:rPr>
        <w:footnoteReference w:id="25"/>
      </w:r>
      <w:r w:rsidRPr="007735EB">
        <w:rPr>
          <w:rFonts w:ascii="Times New Roman" w:eastAsia="Times New Roman" w:hAnsi="Times New Roman" w:cs="Times New Roman"/>
          <w:color w:val="000000" w:themeColor="text1"/>
          <w:sz w:val="24"/>
          <w:szCs w:val="24"/>
        </w:rPr>
        <w:t>. Īstenojot Latvijas kvalifikāciju ietvarstruktūras</w:t>
      </w:r>
      <w:r w:rsidRPr="007735EB">
        <w:rPr>
          <w:rFonts w:ascii="Times New Roman" w:eastAsia="Times New Roman" w:hAnsi="Times New Roman" w:cs="Times New Roman"/>
          <w:color w:val="000000" w:themeColor="text1"/>
          <w:sz w:val="24"/>
          <w:szCs w:val="24"/>
          <w:vertAlign w:val="superscript"/>
        </w:rPr>
        <w:footnoteReference w:id="26"/>
      </w:r>
      <w:r w:rsidRPr="007735EB">
        <w:rPr>
          <w:rFonts w:ascii="Times New Roman" w:eastAsia="Times New Roman" w:hAnsi="Times New Roman" w:cs="Times New Roman"/>
          <w:color w:val="000000" w:themeColor="text1"/>
          <w:sz w:val="24"/>
          <w:szCs w:val="24"/>
        </w:rPr>
        <w:t xml:space="preserve"> 5. - 6. līmeņa profesionālās pilnveides programmas, no mācību stundu kopējā darba apjoma ne mazāk kā 40 procentus veido kontaktnodarbības, savukārt 7. līmeņa programmu īstenošanā kontaktnodarbību apjoms veido vismaz 30 procentus no programmas kopējā mācību stundu apjoma.</w:t>
      </w:r>
    </w:p>
    <w:p w14:paraId="5D8A28E1"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Attiecībā uz augstākās izglītības programmām kā formālās izglītības daļu ir noteikta, ka kontaktnodarbības līdz 50 procentiem no attiecīgās programmas īstenošanai noteiktā kontaktnodarbību skaita var īstenot attālināti, izmantojot sinhronas un/vai asinhronas studiju metodes, atbilstoši attālināto mācību organizēšanas un īstenošanas kārtībai augstākās izglītības pakāpē.</w:t>
      </w:r>
      <w:r w:rsidRPr="007735EB">
        <w:rPr>
          <w:rFonts w:ascii="Times New Roman" w:eastAsia="Times New Roman" w:hAnsi="Times New Roman" w:cs="Times New Roman"/>
          <w:color w:val="000000" w:themeColor="text1"/>
          <w:sz w:val="24"/>
          <w:szCs w:val="24"/>
          <w:vertAlign w:val="superscript"/>
        </w:rPr>
        <w:footnoteReference w:id="27"/>
      </w:r>
      <w:r w:rsidRPr="007735EB">
        <w:rPr>
          <w:rFonts w:ascii="Times New Roman" w:eastAsia="Times New Roman" w:hAnsi="Times New Roman" w:cs="Times New Roman"/>
          <w:color w:val="000000" w:themeColor="text1"/>
          <w:sz w:val="24"/>
          <w:szCs w:val="24"/>
        </w:rPr>
        <w:t xml:space="preserve"> Tomēr šo Ministru kabineta noteikumu 4.6. punkts norāda, ka profesionālās pilnveides programmās klātienē īstenojamo daļu nosaka pašā izglītības programmā, tātad par to jāvienojas programmas izveides gaitā programmas izstrādātājiem un  nozares pārstāvjiem. </w:t>
      </w:r>
    </w:p>
    <w:p w14:paraId="5D8A28E2" w14:textId="6DC12C1B" w:rsidR="00AB05AE" w:rsidRPr="001C4466" w:rsidRDefault="001C4466" w:rsidP="001C4466">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8" w:name="_Toc218505005"/>
      <w:r w:rsidR="00096341" w:rsidRPr="001C4466">
        <w:rPr>
          <w:rFonts w:ascii="Times New Roman" w:eastAsia="Times New Roman" w:hAnsi="Times New Roman" w:cs="Times New Roman"/>
          <w:b/>
          <w:bCs/>
          <w:color w:val="000000" w:themeColor="text1"/>
          <w:sz w:val="24"/>
          <w:szCs w:val="24"/>
        </w:rPr>
        <w:t>Atbilstošs akadēmiskais personāls</w:t>
      </w:r>
      <w:bookmarkEnd w:id="8"/>
    </w:p>
    <w:p w14:paraId="5D8A28E3"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Profesionālās pilnveides programmu īstenošanā</w:t>
      </w:r>
      <w:r w:rsidRPr="007735EB">
        <w:rPr>
          <w:rFonts w:ascii="Times New Roman" w:eastAsia="Times New Roman" w:hAnsi="Times New Roman" w:cs="Times New Roman"/>
          <w:b/>
          <w:bCs/>
          <w:color w:val="000000" w:themeColor="text1"/>
          <w:sz w:val="24"/>
          <w:szCs w:val="24"/>
        </w:rPr>
        <w:t xml:space="preserve"> </w:t>
      </w:r>
      <w:r w:rsidRPr="007735EB">
        <w:rPr>
          <w:rFonts w:ascii="Times New Roman" w:eastAsia="Times New Roman" w:hAnsi="Times New Roman" w:cs="Times New Roman"/>
          <w:color w:val="000000" w:themeColor="text1"/>
          <w:sz w:val="24"/>
          <w:szCs w:val="24"/>
        </w:rPr>
        <w:t xml:space="preserve">jāiesaista pieredzējis akadēmiskais personāls. Tā kā šīs programmas tiek veidotas uz akreditētās studiju programmās iekļautu studiju kursu bāzes, tad ieteicams iekļaut šo kursu docētājus, nepieciešamības gadījumā papildinot ar kolēģiem, kas specializējas atbilstošās jomās. Programmas īstenošanā iespējams arī pieaicināt pieredzējušus nozares pārstāvjus, ja tas veicina specifisku mācību rezultātu sasniegšanu. </w:t>
      </w:r>
    </w:p>
    <w:p w14:paraId="5D8A28E5" w14:textId="5037648F" w:rsidR="00AB05AE" w:rsidRPr="001C4466" w:rsidRDefault="001C4466" w:rsidP="001C4466">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9" w:name="_Toc218505006"/>
      <w:r w:rsidR="00096341" w:rsidRPr="001C4466">
        <w:rPr>
          <w:rFonts w:ascii="Times New Roman" w:eastAsia="Times New Roman" w:hAnsi="Times New Roman" w:cs="Times New Roman"/>
          <w:b/>
          <w:bCs/>
          <w:color w:val="000000" w:themeColor="text1"/>
          <w:sz w:val="24"/>
          <w:szCs w:val="24"/>
        </w:rPr>
        <w:t>Sasniedzamo mācību rezultātu formulēšana</w:t>
      </w:r>
      <w:bookmarkEnd w:id="9"/>
    </w:p>
    <w:p w14:paraId="5D8A28E6" w14:textId="77777777" w:rsidR="00AB05AE" w:rsidRPr="007735EB" w:rsidRDefault="004B7ED8" w:rsidP="007735EB">
      <w:pPr>
        <w:pBdr>
          <w:top w:val="nil"/>
          <w:left w:val="nil"/>
          <w:bottom w:val="nil"/>
          <w:right w:val="nil"/>
          <w:between w:val="nil"/>
        </w:pBd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b/>
        <w:t xml:space="preserve">Tā kā profesionālās pilnveides programmas tiek veidotas uz akreditētā studiju programmā iekļauta studiju kursa bāzes, tad sākotnējie mācību rezultātu formulējumi ir jāprecizē atbilstoši specifiskajam  kursa mērķim, kas saskaņots ar nozares aktualitātēm. Lai arī profesionālās pilnveides programmās mācību rezultātus definē saskaņā ar Eiropas kvalifikāciju ietvarstruktūras pieeju, iedalot mācību rezultātus zināšanās, prasmēs un atbildībā un autonomijā (kompetencē), tomēr šajās programmās būtiski jāuzsver tieši prasmju un kompetences nozīme, jo programmas paredzētas tieši profesionālajai pilnveidei nozarei būtiskos jautājumos.   </w:t>
      </w:r>
    </w:p>
    <w:p w14:paraId="5D8A28E7"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Mācību rezultātu formulējumos ir jāietver darbības vārds, kas norāda, ko students pēc programmas apguves varēs izdarīt. Tātad tie jāveido no programmas dalībnieka pozīcijas. </w:t>
      </w:r>
      <w:r w:rsidRPr="007735EB">
        <w:rPr>
          <w:rFonts w:ascii="Times New Roman" w:eastAsia="Times New Roman" w:hAnsi="Times New Roman" w:cs="Times New Roman"/>
          <w:color w:val="000000" w:themeColor="text1"/>
          <w:sz w:val="24"/>
          <w:szCs w:val="24"/>
        </w:rPr>
        <w:lastRenderedPageBreak/>
        <w:t xml:space="preserve">Līdz ar to nav pieļaujams, ka rezultāti formulēti tikai saistībā ar konkrētās programmas tematiskajiem jautājumiem. Svarīgi uzsvērt, ka rezultāta formulējumā iekļautā darbība tiek pielietota arī mācību rezultātu vērtēšanā. </w:t>
      </w:r>
    </w:p>
    <w:p w14:paraId="5D8A28E8"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Formulējot mācību rezultātus un plānojot programmas saturu un norisi, jāpārliecinās, ka šie rezultāti būs reāli sasniedzami un izmērāmi.</w:t>
      </w:r>
    </w:p>
    <w:p w14:paraId="5D8A28EA" w14:textId="77655EC2" w:rsidR="00AB05AE" w:rsidRPr="001C4466" w:rsidRDefault="001C4466" w:rsidP="001C4466">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10" w:name="_Toc218505007"/>
      <w:r w:rsidRPr="001C4466">
        <w:rPr>
          <w:rFonts w:ascii="Times New Roman" w:eastAsia="Times New Roman" w:hAnsi="Times New Roman" w:cs="Times New Roman"/>
          <w:b/>
          <w:bCs/>
          <w:color w:val="000000" w:themeColor="text1"/>
          <w:sz w:val="24"/>
          <w:szCs w:val="24"/>
        </w:rPr>
        <w:t>Mācību rezultātu novērtēšanas metodes</w:t>
      </w:r>
      <w:bookmarkEnd w:id="10"/>
    </w:p>
    <w:p w14:paraId="5D8A28EB" w14:textId="0AA24A44"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Profesionālās pilnveides programmās vērtēšanai jābūt orientētai tieši uz programmā definēto mācību rezultātu adekvātu novērtēšanu. Svarīgi apzināties, ka dažādiem mācību rezultātiem atbilstošas ir dažādas vērtēšanas metodes, tātad visbiežāk ar viena veida pārbaudes darbu var nepietikt. Izvēloties vērtēšanas metodes, noteicošais ir katra mācību rezultāta formulējumā iekļautais darbības vārds, atbilstoši kuram tiek izvēlēts uzdevums, kā šo rezultātu pārbaudīt, piemēram, ja “raksturo dažādas metodes”, tad ietver iespēju raksturot, ja “prot analizēt datus”, tad uzdevumam jābūt saistītam ar datu analīzi, ja “spēj strādāt komandā”, tad tāda iespēja jānodrošina un rezultāts jānovērtē. Attiecībā uz grupu darbiem jāatceras, ka mācību rezultāti ir individuāli un tie jānovērtē individuāli katram programmas dalībniekam (pēc grupu darba prezentācijas ieteicam</w:t>
      </w:r>
      <w:r w:rsidR="005A6C8C">
        <w:rPr>
          <w:rFonts w:ascii="Times New Roman" w:eastAsia="Times New Roman" w:hAnsi="Times New Roman" w:cs="Times New Roman"/>
          <w:color w:val="000000" w:themeColor="text1"/>
          <w:sz w:val="24"/>
          <w:szCs w:val="24"/>
        </w:rPr>
        <w:t>s</w:t>
      </w:r>
      <w:r w:rsidRPr="007735EB">
        <w:rPr>
          <w:rFonts w:ascii="Times New Roman" w:eastAsia="Times New Roman" w:hAnsi="Times New Roman" w:cs="Times New Roman"/>
          <w:color w:val="000000" w:themeColor="text1"/>
          <w:sz w:val="24"/>
          <w:szCs w:val="24"/>
        </w:rPr>
        <w:t xml:space="preserve"> individuāls pārbaudījums, piemēram, tests, refleksija vai tamlīdzīgi). </w:t>
      </w:r>
    </w:p>
    <w:p w14:paraId="5D8A28EC"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Lai katrs programmas dalībnieks sasniegtu pēc iespējas augstākus mācību rezultātus, mācīšanās laikā būtiski nodrošināt formatīvo vērtēšanu, kas ar atgriezeniskās saites palīdzību dod iespēju apzināties nepieciešamos uzlabojumus un izmaiņas gan programmas dalībniekam, gan arī docētājam. </w:t>
      </w:r>
    </w:p>
    <w:p w14:paraId="5D8A28ED"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Plānojot vērtēšanu profesionālās pilnveides programmā, ir svarīgi šādi aspekti:</w:t>
      </w:r>
    </w:p>
    <w:p w14:paraId="5D8A28EE" w14:textId="77777777" w:rsidR="00AB05AE" w:rsidRPr="007735EB" w:rsidRDefault="004B7ED8" w:rsidP="001C4466">
      <w:pPr>
        <w:numPr>
          <w:ilvl w:val="0"/>
          <w:numId w:val="27"/>
        </w:numPr>
        <w:pBdr>
          <w:top w:val="nil"/>
          <w:left w:val="nil"/>
          <w:bottom w:val="nil"/>
          <w:right w:val="nil"/>
          <w:between w:val="nil"/>
        </w:pBdr>
        <w:spacing w:after="0"/>
        <w:ind w:left="714"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vērtējuma mērķis (virzīt attīstību; kontrolēt kvalitāti; formulēt spriedumu utt.); tātad saprast, kāpēc notiek formatīvā vai summatīvā vērēšana;</w:t>
      </w:r>
    </w:p>
    <w:p w14:paraId="5D8A28EF" w14:textId="77777777" w:rsidR="00AB05AE" w:rsidRPr="007735EB" w:rsidRDefault="004B7ED8" w:rsidP="001C4466">
      <w:pPr>
        <w:numPr>
          <w:ilvl w:val="0"/>
          <w:numId w:val="27"/>
        </w:numPr>
        <w:pBdr>
          <w:top w:val="nil"/>
          <w:left w:val="nil"/>
          <w:bottom w:val="nil"/>
          <w:right w:val="nil"/>
          <w:between w:val="nil"/>
        </w:pBdr>
        <w:spacing w:after="0"/>
        <w:ind w:left="714"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pārbaudāmie domēni (kurus jēdzienus, tematus vērtēs, kā arī kāda veida kompetence tā būs);</w:t>
      </w:r>
    </w:p>
    <w:p w14:paraId="5D8A28F0" w14:textId="77777777" w:rsidR="00AB05AE" w:rsidRPr="007735EB" w:rsidRDefault="004B7ED8" w:rsidP="001C4466">
      <w:pPr>
        <w:numPr>
          <w:ilvl w:val="0"/>
          <w:numId w:val="27"/>
        </w:numPr>
        <w:pBdr>
          <w:top w:val="nil"/>
          <w:left w:val="nil"/>
          <w:bottom w:val="nil"/>
          <w:right w:val="nil"/>
          <w:between w:val="nil"/>
        </w:pBdr>
        <w:spacing w:after="0"/>
        <w:ind w:left="714"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vērtēšanas rīki (metodes, tehnoloģijas).</w:t>
      </w:r>
    </w:p>
    <w:p w14:paraId="5D8A28F1"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Profesionālās pilnveides programmās, kas veidotas profesionālās kompetences attīstīšanai, nozīmīgi ir jēdzieni autentiskā vērtēšana un snieguma vērtēšana. Ar autentisko vērtēšanu saprot uzdevumus, kurā studenti risina problēmu vai situāciju, kas ir kontekstualizēta reālistiskā profesionālajā vidē, un novērtē zināšanas, prasmes un attieksmi, kas nepieciešama darba kopienā</w:t>
      </w:r>
      <w:r w:rsidRPr="007735EB">
        <w:rPr>
          <w:rFonts w:ascii="Times New Roman" w:eastAsia="Times New Roman" w:hAnsi="Times New Roman" w:cs="Times New Roman"/>
          <w:color w:val="000000" w:themeColor="text1"/>
          <w:sz w:val="24"/>
          <w:szCs w:val="24"/>
          <w:vertAlign w:val="superscript"/>
        </w:rPr>
        <w:footnoteReference w:id="28"/>
      </w:r>
      <w:r w:rsidRPr="007735EB">
        <w:rPr>
          <w:rFonts w:ascii="Times New Roman" w:eastAsia="Times New Roman" w:hAnsi="Times New Roman" w:cs="Times New Roman"/>
          <w:color w:val="000000" w:themeColor="text1"/>
          <w:sz w:val="24"/>
          <w:szCs w:val="24"/>
        </w:rPr>
        <w:t xml:space="preserve">. Savukārt snieguma vērtēšana fokusēta tieši uz konkrētu prasmju un kompetences demonstrēšanu, kurā vērtē vai nu gala produktu, vai darba procesu, vai arī tā saucamo portfolio - veikto darbu kopumu.   </w:t>
      </w:r>
    </w:p>
    <w:p w14:paraId="5D8A28F2" w14:textId="77777777" w:rsidR="00AB05AE" w:rsidRPr="007735EB" w:rsidRDefault="004B7ED8" w:rsidP="007735EB">
      <w:pPr>
        <w:pBdr>
          <w:top w:val="nil"/>
          <w:left w:val="nil"/>
          <w:bottom w:val="nil"/>
          <w:right w:val="nil"/>
          <w:between w:val="nil"/>
        </w:pBd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b/>
        <w:t>Atbilstoši Standartiem un vadlīnijām kvalitātes nodrošināšanai Eiropas augstākās izglītības telpā (ESG)</w:t>
      </w:r>
      <w:r w:rsidRPr="007735EB">
        <w:rPr>
          <w:rFonts w:ascii="Times New Roman" w:eastAsia="Times New Roman" w:hAnsi="Times New Roman" w:cs="Times New Roman"/>
          <w:color w:val="000000" w:themeColor="text1"/>
          <w:sz w:val="24"/>
          <w:szCs w:val="24"/>
          <w:vertAlign w:val="superscript"/>
        </w:rPr>
        <w:footnoteReference w:id="29"/>
      </w:r>
      <w:r w:rsidRPr="007735EB">
        <w:rPr>
          <w:rFonts w:ascii="Times New Roman" w:eastAsia="Times New Roman" w:hAnsi="Times New Roman" w:cs="Times New Roman"/>
          <w:color w:val="000000" w:themeColor="text1"/>
          <w:sz w:val="24"/>
          <w:szCs w:val="24"/>
        </w:rPr>
        <w:t xml:space="preserve"> ir svarīgi nodrošināt, ka vērtēšanas kritēriji un metodes, kā arī kritēriji atzīmju izlikšanai ir iepriekš zināmi programmas dalībniekiem, kā arī vērtēšana sniedz dalībniekiem iespēju parādīt, kādā mērā tie ir sasnieguši sagaidāmos mācīšanās rezultātus. </w:t>
      </w:r>
      <w:r w:rsidRPr="007735EB">
        <w:rPr>
          <w:rFonts w:ascii="Times New Roman" w:eastAsia="Times New Roman" w:hAnsi="Times New Roman" w:cs="Times New Roman"/>
          <w:color w:val="000000" w:themeColor="text1"/>
          <w:sz w:val="24"/>
          <w:szCs w:val="24"/>
        </w:rPr>
        <w:lastRenderedPageBreak/>
        <w:t>Mācīšanās laikā programmas dalībniekiem jānodrošina atgriezeniskā saite, kura palīdz turpmākajā mācīšanās procesā, kā arī vērtēšana ir konsekventa, taisnīgi piemērota visiem programmas dalībniekeim un tiek īstenota saskaņā ar apstiprinātām procedūrām. Svarīgi ir paredzēt procedūru programmas dalībnieku apelāciju izskatīšanai.</w:t>
      </w:r>
    </w:p>
    <w:p w14:paraId="5D8A28F5" w14:textId="31EA9014" w:rsidR="00AB05AE" w:rsidRPr="001C4466" w:rsidRDefault="004B7ED8" w:rsidP="00E274BA">
      <w:pPr>
        <w:pStyle w:val="Heading1"/>
        <w:numPr>
          <w:ilvl w:val="0"/>
          <w:numId w:val="21"/>
        </w:numPr>
        <w:spacing w:before="480" w:after="120"/>
        <w:ind w:left="1077" w:hanging="357"/>
        <w:rPr>
          <w:rFonts w:ascii="Times New Roman" w:eastAsia="Times New Roman" w:hAnsi="Times New Roman" w:cs="Times New Roman"/>
          <w:b/>
          <w:bCs/>
          <w:color w:val="000000" w:themeColor="text1"/>
          <w:sz w:val="28"/>
          <w:szCs w:val="28"/>
        </w:rPr>
      </w:pPr>
      <w:bookmarkStart w:id="11" w:name="_Toc218505008"/>
      <w:r w:rsidRPr="001C4466">
        <w:rPr>
          <w:rFonts w:ascii="Times New Roman" w:eastAsia="Times New Roman" w:hAnsi="Times New Roman" w:cs="Times New Roman"/>
          <w:b/>
          <w:bCs/>
          <w:color w:val="000000" w:themeColor="text1"/>
          <w:sz w:val="28"/>
          <w:szCs w:val="28"/>
        </w:rPr>
        <w:t>Sagatavošana</w:t>
      </w:r>
      <w:r w:rsidR="00B93B17" w:rsidRPr="001C4466">
        <w:rPr>
          <w:rFonts w:ascii="Times New Roman" w:eastAsia="Times New Roman" w:hAnsi="Times New Roman" w:cs="Times New Roman"/>
          <w:b/>
          <w:bCs/>
          <w:color w:val="000000" w:themeColor="text1"/>
          <w:sz w:val="28"/>
          <w:szCs w:val="28"/>
        </w:rPr>
        <w:t xml:space="preserve">. </w:t>
      </w:r>
      <w:r w:rsidRPr="001C4466">
        <w:rPr>
          <w:rFonts w:ascii="Times New Roman" w:eastAsia="Times New Roman" w:hAnsi="Times New Roman" w:cs="Times New Roman"/>
          <w:b/>
          <w:bCs/>
          <w:color w:val="000000" w:themeColor="text1"/>
          <w:sz w:val="28"/>
          <w:szCs w:val="28"/>
        </w:rPr>
        <w:t>Nepieciešamā dokumentācija</w:t>
      </w:r>
      <w:bookmarkEnd w:id="11"/>
    </w:p>
    <w:p w14:paraId="5D8A28F7" w14:textId="77777777" w:rsidR="00AB05AE" w:rsidRPr="007735EB" w:rsidRDefault="004B7ED8" w:rsidP="001C4466">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Atkārtoti jāuzsver, ka profesionālās pilnveides programmai augstākās izglītības iestādē jāatbilst tajā īstenotai studiju programmai un  aktuālajām darba tirgus prasībām. Lai uzsāktu profesionālās pilnveides programmu īstenošanu atbilstoši spēkā esošo normatīvo dokumentu prasībām, jāsagatavo šāda dokumentācija un jāveic turpmāk uzskaitītie procesi. </w:t>
      </w:r>
    </w:p>
    <w:p w14:paraId="5D8A28FA" w14:textId="417340D4" w:rsidR="00AB05AE" w:rsidRPr="001C4466" w:rsidRDefault="001C4466" w:rsidP="001C4466">
      <w:pPr>
        <w:pStyle w:val="Heading2"/>
        <w:spacing w:before="120" w:after="120"/>
        <w:ind w:left="720"/>
        <w:rPr>
          <w:rFonts w:ascii="Times New Roman" w:eastAsia="Times New Roman" w:hAnsi="Times New Roman" w:cs="Times New Roman"/>
          <w:b/>
          <w:bCs/>
          <w:color w:val="000000" w:themeColor="text1"/>
          <w:sz w:val="24"/>
          <w:szCs w:val="24"/>
        </w:rPr>
      </w:pPr>
      <w:bookmarkStart w:id="12" w:name="_Toc218505009"/>
      <w:r>
        <w:rPr>
          <w:rFonts w:ascii="Times New Roman" w:eastAsia="Times New Roman" w:hAnsi="Times New Roman" w:cs="Times New Roman"/>
          <w:b/>
          <w:bCs/>
          <w:color w:val="000000" w:themeColor="text1"/>
          <w:sz w:val="24"/>
          <w:szCs w:val="24"/>
        </w:rPr>
        <w:t xml:space="preserve">2.1. </w:t>
      </w:r>
      <w:r w:rsidRPr="001C4466">
        <w:rPr>
          <w:rFonts w:ascii="Times New Roman" w:eastAsia="Times New Roman" w:hAnsi="Times New Roman" w:cs="Times New Roman"/>
          <w:b/>
          <w:bCs/>
          <w:color w:val="000000" w:themeColor="text1"/>
          <w:sz w:val="24"/>
          <w:szCs w:val="24"/>
        </w:rPr>
        <w:t>Programmas apraksts</w:t>
      </w:r>
      <w:bookmarkEnd w:id="12"/>
    </w:p>
    <w:p w14:paraId="5D8A28FB" w14:textId="77777777" w:rsidR="00AB05AE" w:rsidRPr="007735EB" w:rsidRDefault="004B7ED8" w:rsidP="007735EB">
      <w:pPr>
        <w:spacing w:before="120" w:after="120"/>
        <w:ind w:firstLine="720"/>
        <w:jc w:val="both"/>
        <w:rPr>
          <w:rFonts w:ascii="Times New Roman" w:eastAsia="Times New Roman" w:hAnsi="Times New Roman" w:cs="Times New Roman"/>
          <w:i/>
          <w:iCs/>
          <w:color w:val="000000" w:themeColor="text1"/>
          <w:sz w:val="24"/>
          <w:szCs w:val="24"/>
        </w:rPr>
      </w:pPr>
      <w:r w:rsidRPr="007735EB">
        <w:rPr>
          <w:rFonts w:ascii="Times New Roman" w:eastAsia="Times New Roman" w:hAnsi="Times New Roman" w:cs="Times New Roman"/>
          <w:color w:val="000000" w:themeColor="text1"/>
          <w:sz w:val="24"/>
          <w:szCs w:val="24"/>
        </w:rPr>
        <w:t>Profesionālās pilnveides programmas apraksts detalizēti raksturo programmas mērķus, uzdevumus, apjomu, mācību saturu, programmas apgūšanas kritērijus, sasniedzamos rezultātus (zināšanas, prasmes un kompetnce), nodarbību apjomu, tēmas  u. c. informāciju, kas nepieciešama, lai nodrošinātu kvalitatīvu un mērķtiecīgu mācību procesu, veicinot</w:t>
      </w:r>
      <w:r w:rsidRPr="007735EB">
        <w:rPr>
          <w:rFonts w:ascii="Times New Roman" w:eastAsia="Times New Roman" w:hAnsi="Times New Roman" w:cs="Times New Roman"/>
          <w:color w:val="000000" w:themeColor="text1"/>
          <w:sz w:val="24"/>
          <w:szCs w:val="24"/>
          <w:highlight w:val="yellow"/>
        </w:rPr>
        <w:t xml:space="preserve"> </w:t>
      </w:r>
      <w:r w:rsidRPr="007735EB">
        <w:rPr>
          <w:rFonts w:ascii="Times New Roman" w:eastAsia="Times New Roman" w:hAnsi="Times New Roman" w:cs="Times New Roman"/>
          <w:color w:val="000000" w:themeColor="text1"/>
          <w:sz w:val="24"/>
          <w:szCs w:val="24"/>
        </w:rPr>
        <w:t xml:space="preserve">dalībnieku profesionālo izaugsmi un atbilstību darba tirgus prasībām. </w:t>
      </w:r>
    </w:p>
    <w:p w14:paraId="5D8A28FC"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Apraksts tiek izstrādāts strukturēti, nodrošinot programmas satura atbilstību izvirzītajiem mērķiem un Latvijas kvalifikāciju ietvarstruktūras un profesionālās kvalifikācijas atbilstošu līmeņu zināšanu, prasmju un kompetenču apgūšanu, iekļaujot arī profesionālo kvalifikāciju standartos izvirzīto prasību apgūšanu. Programmas saturā obligāti iekļaujamais norādīts noteikumos par profesionālās pilnveides izglītības standartu.</w:t>
      </w:r>
      <w:r w:rsidRPr="007735EB">
        <w:rPr>
          <w:rFonts w:ascii="Times New Roman" w:eastAsia="Times New Roman" w:hAnsi="Times New Roman" w:cs="Times New Roman"/>
          <w:color w:val="000000" w:themeColor="text1"/>
          <w:sz w:val="24"/>
          <w:szCs w:val="24"/>
          <w:vertAlign w:val="superscript"/>
        </w:rPr>
        <w:footnoteReference w:id="30"/>
      </w:r>
    </w:p>
    <w:p w14:paraId="5D8A28FD" w14:textId="1A9E498C"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Programmas aprakstā tiek ietverta detalizēta informācija par kritērijiem, kas jāievēro programmas īstenošanas un apguves procesā, dalībnieku iepriekš iegūtās izglītības prasības, to iesaiste un līdzdalība programmas apguvē, tai skaitā informācija par nodarbību apmeklējumu, uzdevumu izpildi un gala pārbaudījumu kārtošanu.</w:t>
      </w:r>
    </w:p>
    <w:p w14:paraId="5D8A28FE"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Programmas aprakstu nepieciešams apstiprināt augstākās izglītības iestādes noteiktajā kārtībā. </w:t>
      </w:r>
    </w:p>
    <w:p w14:paraId="5D8A2900" w14:textId="0B14E56D" w:rsidR="00AB05AE" w:rsidRPr="00E274BA" w:rsidRDefault="00E274BA" w:rsidP="00E274BA">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13" w:name="_Toc218505010"/>
      <w:r w:rsidR="00B93B17" w:rsidRPr="00E274BA">
        <w:rPr>
          <w:rFonts w:ascii="Times New Roman" w:eastAsia="Times New Roman" w:hAnsi="Times New Roman" w:cs="Times New Roman"/>
          <w:b/>
          <w:bCs/>
          <w:color w:val="000000" w:themeColor="text1"/>
          <w:sz w:val="24"/>
          <w:szCs w:val="24"/>
        </w:rPr>
        <w:t>Programmas reģistrācija</w:t>
      </w:r>
      <w:bookmarkEnd w:id="13"/>
      <w:r w:rsidR="00B93B17" w:rsidRPr="00E274BA">
        <w:rPr>
          <w:rFonts w:ascii="Times New Roman" w:eastAsia="Times New Roman" w:hAnsi="Times New Roman" w:cs="Times New Roman"/>
          <w:b/>
          <w:bCs/>
          <w:color w:val="000000" w:themeColor="text1"/>
          <w:sz w:val="24"/>
          <w:szCs w:val="24"/>
        </w:rPr>
        <w:t xml:space="preserve"> </w:t>
      </w:r>
    </w:p>
    <w:p w14:paraId="5D8A2902"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Profesionālas pilnveides programmas īstenošanai augstākās izglītības iestādē tā tiek reģistrēta Akadēmiskās informācijas centrā (AIC), atbilstoši AIC apstiprinātajām vadlīnijām</w:t>
      </w:r>
      <w:r w:rsidRPr="007735EB">
        <w:rPr>
          <w:rFonts w:ascii="Times New Roman" w:eastAsia="Times New Roman" w:hAnsi="Times New Roman" w:cs="Times New Roman"/>
          <w:color w:val="000000" w:themeColor="text1"/>
          <w:sz w:val="24"/>
          <w:szCs w:val="24"/>
          <w:vertAlign w:val="superscript"/>
        </w:rPr>
        <w:footnoteReference w:id="31"/>
      </w:r>
      <w:r w:rsidRPr="007735EB">
        <w:rPr>
          <w:rFonts w:ascii="Times New Roman" w:eastAsia="Times New Roman" w:hAnsi="Times New Roman" w:cs="Times New Roman"/>
          <w:color w:val="000000" w:themeColor="text1"/>
          <w:sz w:val="24"/>
          <w:szCs w:val="24"/>
        </w:rPr>
        <w:t xml:space="preserve">, kā augstskolām un koledžām jāinformē AIC par īstenotajām profesionālās tālākizglītības un profesionālās pilnveides programmām, kurām nav nepieciešama papildu licencēšana. Programmas reģistrācijai AIC jāiesniedz augststākas izglītības iestādes parakstīts iesniegums par vēlmi īstenot profesionālas pilnveides programmu, kas veidota no akreditētas studiju programmas satura. Iesnieguma iesniegšana AIC tiek nodrošināta elektroniski, aizpildot tiešsaistes veidlapu, kurā precīzi tiek aizpildīta informācija par programmu, tās </w:t>
      </w:r>
      <w:r w:rsidRPr="007735EB">
        <w:rPr>
          <w:rFonts w:ascii="Times New Roman" w:eastAsia="Times New Roman" w:hAnsi="Times New Roman" w:cs="Times New Roman"/>
          <w:color w:val="000000" w:themeColor="text1"/>
          <w:sz w:val="24"/>
          <w:szCs w:val="24"/>
        </w:rPr>
        <w:lastRenderedPageBreak/>
        <w:t>apjomu, mērķiem un sasniedzamajiem mācību rezultātiem.</w:t>
      </w:r>
      <w:r w:rsidRPr="007735EB">
        <w:rPr>
          <w:rFonts w:ascii="Times New Roman" w:eastAsia="Times New Roman" w:hAnsi="Times New Roman" w:cs="Times New Roman"/>
          <w:color w:val="000000" w:themeColor="text1"/>
          <w:sz w:val="24"/>
          <w:szCs w:val="24"/>
          <w:vertAlign w:val="superscript"/>
        </w:rPr>
        <w:footnoteReference w:id="32"/>
      </w:r>
      <w:r w:rsidRPr="007735EB">
        <w:rPr>
          <w:rFonts w:ascii="Times New Roman" w:eastAsia="Times New Roman" w:hAnsi="Times New Roman" w:cs="Times New Roman"/>
          <w:color w:val="000000" w:themeColor="text1"/>
          <w:sz w:val="24"/>
          <w:szCs w:val="24"/>
        </w:rPr>
        <w:t>AIC izvērtē iesniegto dokumentāciju un pēc pozitīva lēmuma pieņemšanas piešķir programmas reģistrācijas numuru, informējot par to augstākās izglītības iestādi.</w:t>
      </w:r>
    </w:p>
    <w:p w14:paraId="5D8A2905" w14:textId="1E59CC1E" w:rsidR="00AB05AE" w:rsidRPr="00E274BA" w:rsidRDefault="004B7ED8" w:rsidP="00E274BA">
      <w:pPr>
        <w:pStyle w:val="Heading1"/>
        <w:numPr>
          <w:ilvl w:val="0"/>
          <w:numId w:val="21"/>
        </w:numPr>
        <w:spacing w:before="480" w:after="120"/>
        <w:ind w:left="1077" w:hanging="357"/>
        <w:rPr>
          <w:rFonts w:ascii="Times New Roman" w:eastAsia="Times New Roman" w:hAnsi="Times New Roman" w:cs="Times New Roman"/>
          <w:b/>
          <w:bCs/>
          <w:color w:val="000000" w:themeColor="text1"/>
          <w:sz w:val="28"/>
          <w:szCs w:val="28"/>
        </w:rPr>
      </w:pPr>
      <w:bookmarkStart w:id="14" w:name="_Toc218505011"/>
      <w:r w:rsidRPr="00E274BA">
        <w:rPr>
          <w:rFonts w:ascii="Times New Roman" w:eastAsia="Times New Roman" w:hAnsi="Times New Roman" w:cs="Times New Roman"/>
          <w:b/>
          <w:bCs/>
          <w:color w:val="000000" w:themeColor="text1"/>
          <w:sz w:val="28"/>
          <w:szCs w:val="28"/>
        </w:rPr>
        <w:t>Programmas norise</w:t>
      </w:r>
      <w:bookmarkEnd w:id="14"/>
    </w:p>
    <w:p w14:paraId="5D8A2906"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Veiksmīga profesionālās pilnveides programmas īstenošana AII ir būtisks instruments mūžizglītības, nepārtrauktas profesionālās izaugsmes un konkurētspējas veicināšanai. Lai nodrošinātu kvalitatīvu mācību procesu un ikvienam interesentam iespēju apgūt darba tirgū aktuālākās zināšanas, prasmes un kompetences, PPP norise</w:t>
      </w:r>
      <w:r w:rsidRPr="007735EB">
        <w:rPr>
          <w:rFonts w:ascii="Times New Roman" w:eastAsia="Times New Roman" w:hAnsi="Times New Roman" w:cs="Times New Roman"/>
          <w:b/>
          <w:bCs/>
          <w:color w:val="000000" w:themeColor="text1"/>
          <w:sz w:val="24"/>
          <w:szCs w:val="24"/>
        </w:rPr>
        <w:t xml:space="preserve"> </w:t>
      </w:r>
      <w:r w:rsidRPr="007735EB">
        <w:rPr>
          <w:rFonts w:ascii="Times New Roman" w:eastAsia="Times New Roman" w:hAnsi="Times New Roman" w:cs="Times New Roman"/>
          <w:color w:val="000000" w:themeColor="text1"/>
          <w:sz w:val="24"/>
          <w:szCs w:val="24"/>
        </w:rPr>
        <w:t>tiek organizēta atbilstoši augstākās izglītības kvalitātes standartiem, ievērojot iepriekš vadlīnījās minētos reglamentējošos normatīvus.</w:t>
      </w:r>
    </w:p>
    <w:p w14:paraId="5D8A2907" w14:textId="0F87626D" w:rsidR="00AB05AE" w:rsidRPr="00E274BA" w:rsidRDefault="004B7ED8" w:rsidP="00E274BA">
      <w:pPr>
        <w:pStyle w:val="Heading2"/>
        <w:spacing w:before="120" w:after="120"/>
        <w:ind w:left="720"/>
        <w:rPr>
          <w:rFonts w:ascii="Times New Roman" w:eastAsia="Times New Roman" w:hAnsi="Times New Roman" w:cs="Times New Roman"/>
          <w:b/>
          <w:bCs/>
          <w:color w:val="000000" w:themeColor="text1"/>
          <w:sz w:val="24"/>
          <w:szCs w:val="24"/>
        </w:rPr>
      </w:pPr>
      <w:r w:rsidRPr="00E274BA">
        <w:rPr>
          <w:rFonts w:ascii="Times New Roman" w:eastAsia="Times New Roman" w:hAnsi="Times New Roman" w:cs="Times New Roman"/>
          <w:b/>
          <w:bCs/>
          <w:color w:val="000000" w:themeColor="text1"/>
          <w:sz w:val="24"/>
          <w:szCs w:val="24"/>
        </w:rPr>
        <w:t xml:space="preserve"> </w:t>
      </w:r>
      <w:bookmarkStart w:id="15" w:name="_Toc218505012"/>
      <w:r w:rsidR="00E274BA">
        <w:rPr>
          <w:rFonts w:ascii="Times New Roman" w:eastAsia="Times New Roman" w:hAnsi="Times New Roman" w:cs="Times New Roman"/>
          <w:b/>
          <w:bCs/>
          <w:color w:val="000000" w:themeColor="text1"/>
          <w:sz w:val="24"/>
          <w:szCs w:val="24"/>
        </w:rPr>
        <w:t xml:space="preserve">3.1. </w:t>
      </w:r>
      <w:r w:rsidRPr="00E274BA">
        <w:rPr>
          <w:rFonts w:ascii="Times New Roman" w:eastAsia="Times New Roman" w:hAnsi="Times New Roman" w:cs="Times New Roman"/>
          <w:b/>
          <w:bCs/>
          <w:color w:val="000000" w:themeColor="text1"/>
          <w:sz w:val="24"/>
          <w:szCs w:val="24"/>
        </w:rPr>
        <w:t>Dalībnieku pieteikumu saņemšana un izvērtēšana</w:t>
      </w:r>
      <w:bookmarkEnd w:id="15"/>
    </w:p>
    <w:p w14:paraId="5D8A2909"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AII nodrošina skaidru pieteikšanās kārtību, norādot prasības, nepieciešamo dokumentus un pieteikšanās termiņus. Saņemot pieteikumu, AII veic personas atbilstības izvērtēšanu, pārbaudot iepriekš iegūto izglītību un darba pieredzi (ja nepieciešams). AII sniedz informāciju pretendentam par izvērtēšanas rezultātiem un turpmākajiem soļiem PPP uzsākšanai.</w:t>
      </w:r>
    </w:p>
    <w:p w14:paraId="5D8A290A"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Pirms programmas sākuma AII noslēdz ar pretendentu mācību līgumu, kurā skaidri atspoguļoti mācību nosacījumi, programmas saturs un ilgums, veicamie maksājumi un to termiņi, piemērojamie noteikumi, kā arī pušu tiesības un pienākumi. Pēc līguma noslēgšanas dalībnieki tiek reģistrēti programmas uzsākšanai AII noteiktajā kārtībā.</w:t>
      </w:r>
    </w:p>
    <w:p w14:paraId="5D8A290B"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PPP īstenošanā rekomendējam apsvērt iespēju izmantot platformu STARS</w:t>
      </w:r>
      <w:r w:rsidRPr="007735EB">
        <w:rPr>
          <w:rFonts w:ascii="Times New Roman" w:eastAsia="Arial" w:hAnsi="Times New Roman" w:cs="Times New Roman"/>
          <w:color w:val="000000" w:themeColor="text1"/>
          <w:sz w:val="24"/>
          <w:szCs w:val="24"/>
          <w:vertAlign w:val="superscript"/>
        </w:rPr>
        <w:footnoteReference w:id="33"/>
      </w:r>
      <w:r w:rsidRPr="007735EB">
        <w:rPr>
          <w:rFonts w:ascii="Times New Roman" w:eastAsia="Times New Roman" w:hAnsi="Times New Roman" w:cs="Times New Roman"/>
          <w:color w:val="000000" w:themeColor="text1"/>
          <w:sz w:val="24"/>
          <w:szCs w:val="24"/>
        </w:rPr>
        <w:t>, kas piedāvā individuālo mācību kontu sistēmu un piekļuvi dažādām izglītības programmām, sākot ar pieteikšanās procesa nodrošināšanu līdz pat dalībnieku administrēšanai un sasniegto mācību rezultātu uzkrāšanai.</w:t>
      </w:r>
    </w:p>
    <w:p w14:paraId="5D8A290C" w14:textId="21C6AF1B" w:rsidR="00AB05AE" w:rsidRPr="00E274BA" w:rsidRDefault="00E274BA" w:rsidP="00E274BA">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16" w:name="_Toc218505013"/>
      <w:r w:rsidRPr="00E274BA">
        <w:rPr>
          <w:rFonts w:ascii="Times New Roman" w:eastAsia="Times New Roman" w:hAnsi="Times New Roman" w:cs="Times New Roman"/>
          <w:b/>
          <w:bCs/>
          <w:color w:val="000000" w:themeColor="text1"/>
          <w:sz w:val="24"/>
          <w:szCs w:val="24"/>
        </w:rPr>
        <w:t>Programmas īstenošana</w:t>
      </w:r>
      <w:bookmarkEnd w:id="16"/>
    </w:p>
    <w:p w14:paraId="5D8A290D"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Programmas īstenošana notiek saskaņā ar tās aprakstu un kalendāro plānu, nodrošinot kvalitatīvu mācību procesu un darba tirgum nepieciešamo  zināšanu, prasmju un kompetenču apgūšanu. AII uzdevums ir nodrošināt dalībniekus ar aktuālajiem mācību materiāliem, profesionālu akadēmiskā personāla darbu un atbalstošu mācību vidi – klātienē, attālināti vai kombinētā formātā.</w:t>
      </w:r>
    </w:p>
    <w:p w14:paraId="5D8A290E"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Programmas veiksmīgai īstenošanai, AII jāuztur stabila un droša IT infrastruktūru, kas atbalsta attālināto un kombinēto mācību platformu darbību un kvalitatīvu interneta pieslēgumu, tajā skaitā nodrošinot tehnisko atbalstu dalībniekiem un akadēmiskajam personālam. </w:t>
      </w:r>
      <w:r w:rsidRPr="007735EB">
        <w:rPr>
          <w:rFonts w:ascii="Times New Roman" w:eastAsia="Times New Roman" w:hAnsi="Times New Roman" w:cs="Times New Roman"/>
          <w:color w:val="000000" w:themeColor="text1"/>
          <w:sz w:val="24"/>
          <w:szCs w:val="24"/>
          <w:highlight w:val="white"/>
        </w:rPr>
        <w:t>Lai garantētu nepār</w:t>
      </w:r>
      <w:r w:rsidRPr="007735EB">
        <w:rPr>
          <w:rFonts w:ascii="Times New Roman" w:eastAsia="Times New Roman" w:hAnsi="Times New Roman" w:cs="Times New Roman"/>
          <w:color w:val="000000" w:themeColor="text1"/>
          <w:sz w:val="24"/>
          <w:szCs w:val="24"/>
        </w:rPr>
        <w:t xml:space="preserve">trauktu mācību procesa norisi, AII regulāri veic pārbaudes tehniskajam aprīkojumam un programmatūrām (ja tādas ir nepieciešamas PPP īstenošanā). Klātienes nodarbību gadījumā AII piedāvā atbilstošus tehniskos līdzekļus – projektorus, datorus, interaktīvās tāfeles un citus materiāltehniskos resursus sekmīgai programmas </w:t>
      </w:r>
      <w:r w:rsidRPr="007735EB">
        <w:rPr>
          <w:rFonts w:ascii="Times New Roman" w:eastAsia="Times New Roman" w:hAnsi="Times New Roman" w:cs="Times New Roman"/>
          <w:color w:val="000000" w:themeColor="text1"/>
          <w:sz w:val="24"/>
          <w:szCs w:val="24"/>
        </w:rPr>
        <w:lastRenderedPageBreak/>
        <w:t>īstenošanai, kā arī atbalsta personālu, kas spēj operatīvi risināt tehniskas problēmas un atbalstīt mācību procesa veiksmīgu īstenošanu.</w:t>
      </w:r>
    </w:p>
    <w:p w14:paraId="5D8A290F" w14:textId="130AB414" w:rsidR="00AB05AE" w:rsidRPr="00E274BA" w:rsidRDefault="00E274BA" w:rsidP="00E274BA">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17" w:name="_Toc218505014"/>
      <w:r w:rsidRPr="00E274BA">
        <w:rPr>
          <w:rFonts w:ascii="Times New Roman" w:eastAsia="Times New Roman" w:hAnsi="Times New Roman" w:cs="Times New Roman"/>
          <w:b/>
          <w:bCs/>
          <w:color w:val="000000" w:themeColor="text1"/>
          <w:sz w:val="24"/>
          <w:szCs w:val="24"/>
        </w:rPr>
        <w:t>Prasību izpilde un mācību rezultātu vērtēšana</w:t>
      </w:r>
      <w:bookmarkEnd w:id="17"/>
    </w:p>
    <w:p w14:paraId="5D8A2910"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Svarīgi garantēt pārskatāmu un taisnīgu vērtēšanas sistēmu ar skaidri definētiem mācību rezultātiem un kritērijiem. Lai sekmētu mācību progresu, dalībniekam vēlams sniegt regulāru atgriezenisko saiti,  programmas noslēgumā nodrošinot objektīvu prasmju un zināšanu izvērtējums, kas var ietvert pārbaudījumus, praktiskus uzdevumus vai kvalifikācijas eksāmenu (ja tāds paredzēts). Informācija par mācību rezultātu vērtēšanu pieejama vadlīniiju 1.7. punktā.</w:t>
      </w:r>
    </w:p>
    <w:p w14:paraId="5D8A2911" w14:textId="65441A1D" w:rsidR="00AB05AE" w:rsidRPr="00E274BA" w:rsidRDefault="00E274BA" w:rsidP="00E274BA">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18" w:name="_Toc218505015"/>
      <w:r w:rsidRPr="00E274BA">
        <w:rPr>
          <w:rFonts w:ascii="Times New Roman" w:eastAsia="Times New Roman" w:hAnsi="Times New Roman" w:cs="Times New Roman"/>
          <w:b/>
          <w:bCs/>
          <w:color w:val="000000" w:themeColor="text1"/>
          <w:sz w:val="24"/>
          <w:szCs w:val="24"/>
        </w:rPr>
        <w:t>Programmas noslēgums un mācību rezultātu atzīšanas iespējas</w:t>
      </w:r>
      <w:bookmarkEnd w:id="18"/>
    </w:p>
    <w:p w14:paraId="5D8A2912"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Apliecība  par profesionālās pilnveides programmas apgūšanu tiek izsniegta saskaņā MK noteikumiem par Valsts atzītu profesionālo izglītību un profesionālo kvalifikāciju apliecinošu dokumentu, moduļa apliecību un profesionālās izglītības programmas daļas apguvi apliecinošu dokumentu.</w:t>
      </w:r>
      <w:r w:rsidRPr="007735EB">
        <w:rPr>
          <w:rFonts w:ascii="Times New Roman" w:eastAsia="Times New Roman" w:hAnsi="Times New Roman" w:cs="Times New Roman"/>
          <w:color w:val="000000" w:themeColor="text1"/>
          <w:sz w:val="24"/>
          <w:szCs w:val="24"/>
          <w:vertAlign w:val="superscript"/>
        </w:rPr>
        <w:footnoteReference w:id="34"/>
      </w:r>
      <w:r w:rsidRPr="007735EB">
        <w:rPr>
          <w:rFonts w:ascii="Times New Roman" w:eastAsia="Times New Roman" w:hAnsi="Times New Roman" w:cs="Times New Roman"/>
          <w:color w:val="000000" w:themeColor="text1"/>
          <w:sz w:val="24"/>
          <w:szCs w:val="24"/>
        </w:rPr>
        <w:t xml:space="preserve"> </w:t>
      </w:r>
    </w:p>
    <w:p w14:paraId="5D8A2913"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AII informē dalībniekus par iespējām turpināt formālo izglītību vai papildināt prasmes, iesaistoties citos profesionālās pilnveides pasākumos. PPP sasniegtie mācību rezultāti ir atzīstami AII līmenī, ja tie ir savstarpēji salīdzināmi ar attiecīgās studiju programmas studiju rezultātiem, to līmeni un apjomu, nodrošinot vienlīdzīgu un caurspīdīgu pieeju iepriekšējās mācīšanās rezultātu ieskaitīšanai formālajā izglītībā. </w:t>
      </w:r>
    </w:p>
    <w:p w14:paraId="5D8A2914"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Lai PPP iegūtos rezultātus varētu uzkrāt un izmantot augstākās izglītības iegūšanai, AII jāievēro ārpus formālās izglītības apgūto vai profesionālajā pieredzē iegūto kompetenču un iepriekšējā izglītībā sasniegtu studiju rezultātu atzīšanas noteikumi</w:t>
      </w:r>
      <w:r w:rsidRPr="007735EB">
        <w:rPr>
          <w:rFonts w:ascii="Times New Roman" w:eastAsia="Times New Roman" w:hAnsi="Times New Roman" w:cs="Times New Roman"/>
          <w:color w:val="000000" w:themeColor="text1"/>
          <w:sz w:val="24"/>
          <w:szCs w:val="24"/>
          <w:vertAlign w:val="superscript"/>
        </w:rPr>
        <w:footnoteReference w:id="35"/>
      </w:r>
      <w:r w:rsidRPr="007735EB">
        <w:rPr>
          <w:rFonts w:ascii="Times New Roman" w:eastAsia="Times New Roman" w:hAnsi="Times New Roman" w:cs="Times New Roman"/>
          <w:color w:val="000000" w:themeColor="text1"/>
          <w:sz w:val="24"/>
          <w:szCs w:val="24"/>
        </w:rPr>
        <w:t>, kas paredz, ka personas iepriekš iegūtās zināšanas, prasmes un kompetence tiek novērtētas pēc to atbilstības konkrētās studiju programmas plānotajiem studiju rezultātiem un Latvijas kvalifikāciju ietvarstruktūras līmeņiem. Saskaņā ar MK noteikumiem</w:t>
      </w:r>
      <w:r w:rsidRPr="007735EB">
        <w:rPr>
          <w:rFonts w:ascii="Times New Roman" w:eastAsia="Times New Roman" w:hAnsi="Times New Roman" w:cs="Times New Roman"/>
          <w:color w:val="000000" w:themeColor="text1"/>
          <w:sz w:val="24"/>
          <w:szCs w:val="24"/>
          <w:vertAlign w:val="superscript"/>
        </w:rPr>
        <w:footnoteReference w:id="36"/>
      </w:r>
      <w:r w:rsidRPr="007735EB">
        <w:rPr>
          <w:rFonts w:ascii="Times New Roman" w:eastAsia="Times New Roman" w:hAnsi="Times New Roman" w:cs="Times New Roman"/>
          <w:color w:val="000000" w:themeColor="text1"/>
          <w:sz w:val="24"/>
          <w:szCs w:val="24"/>
        </w:rPr>
        <w:t>, augstākās izglītības iestāde nodrošina procedūru, kas ļauj dokumentēti pamatot un reģistrēt šādu atzīšanas procesu studenta akadēmisko sasniegumu uzskaitē.</w:t>
      </w:r>
    </w:p>
    <w:p w14:paraId="5D8A2915"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Vienlaikus PPP iegūtie mācību rezultāti var tikt izmantoti studiju uzsākšanai vēlākos studiju posmos</w:t>
      </w:r>
      <w:r w:rsidRPr="007735EB">
        <w:rPr>
          <w:rFonts w:ascii="Times New Roman" w:eastAsia="Times New Roman" w:hAnsi="Times New Roman" w:cs="Times New Roman"/>
          <w:color w:val="000000" w:themeColor="text1"/>
          <w:sz w:val="24"/>
          <w:szCs w:val="24"/>
          <w:vertAlign w:val="superscript"/>
        </w:rPr>
        <w:footnoteReference w:id="37"/>
      </w:r>
      <w:r w:rsidRPr="007735EB">
        <w:rPr>
          <w:rFonts w:ascii="Times New Roman" w:eastAsia="Times New Roman" w:hAnsi="Times New Roman" w:cs="Times New Roman"/>
          <w:color w:val="000000" w:themeColor="text1"/>
          <w:sz w:val="24"/>
          <w:szCs w:val="24"/>
        </w:rPr>
        <w:t>,  pieņemot lēmumu par studiju rezultātu atzīšanu atbilstošām studiju kursu prasībām noteiktā studiju programmā. Šāda atzīšana veicina elsatīgu augstākās izglītības iegūšanas iespēju, mūžizglītības principu ievērošanu un profesionālās pieredzes integrāciju formālajā izglītībā.</w:t>
      </w:r>
    </w:p>
    <w:p w14:paraId="5D8A2917" w14:textId="62590A14" w:rsidR="00AB05AE" w:rsidRPr="00E274BA" w:rsidRDefault="004B7ED8" w:rsidP="00E274BA">
      <w:pPr>
        <w:pStyle w:val="Heading1"/>
        <w:numPr>
          <w:ilvl w:val="0"/>
          <w:numId w:val="21"/>
        </w:numPr>
        <w:spacing w:before="480" w:after="120"/>
        <w:ind w:left="1077" w:hanging="357"/>
        <w:rPr>
          <w:rFonts w:ascii="Times New Roman" w:eastAsia="Times New Roman" w:hAnsi="Times New Roman" w:cs="Times New Roman"/>
          <w:b/>
          <w:bCs/>
          <w:color w:val="000000" w:themeColor="text1"/>
          <w:sz w:val="28"/>
          <w:szCs w:val="28"/>
        </w:rPr>
      </w:pPr>
      <w:bookmarkStart w:id="19" w:name="_Toc218505016"/>
      <w:r w:rsidRPr="00E274BA">
        <w:rPr>
          <w:rFonts w:ascii="Times New Roman" w:eastAsia="Times New Roman" w:hAnsi="Times New Roman" w:cs="Times New Roman"/>
          <w:b/>
          <w:bCs/>
          <w:color w:val="000000" w:themeColor="text1"/>
          <w:sz w:val="28"/>
          <w:szCs w:val="28"/>
        </w:rPr>
        <w:t>Digitālās uzkrāšanas iespējas</w:t>
      </w:r>
      <w:bookmarkEnd w:id="19"/>
    </w:p>
    <w:p w14:paraId="5D8A2919" w14:textId="243EDB0E"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Sekojot līdzi mūžizglītības attīstības tendencēm un profesionālās pilnveides iespējām pasaulē, apgūstot jaunas zināšanas, prasmes un kompetences, ir īpaši svarīgi tās sistemātiski </w:t>
      </w:r>
      <w:r w:rsidRPr="007735EB">
        <w:rPr>
          <w:rFonts w:ascii="Times New Roman" w:eastAsia="Times New Roman" w:hAnsi="Times New Roman" w:cs="Times New Roman"/>
          <w:color w:val="000000" w:themeColor="text1"/>
          <w:sz w:val="24"/>
          <w:szCs w:val="24"/>
        </w:rPr>
        <w:lastRenderedPageBreak/>
        <w:t xml:space="preserve">un droši uzkrāt. AII rekomendējam izveidot digitalizētu mācību rezultātu uzkrāšanas sistēmu, kas balstīta uz atvērtajiem un starptautiski atzītiem standartiem, piemēram, </w:t>
      </w:r>
      <w:r w:rsidRPr="007735EB">
        <w:rPr>
          <w:rFonts w:ascii="Times New Roman" w:eastAsia="Times New Roman" w:hAnsi="Times New Roman" w:cs="Times New Roman"/>
          <w:i/>
          <w:iCs/>
          <w:color w:val="000000" w:themeColor="text1"/>
          <w:sz w:val="24"/>
          <w:szCs w:val="24"/>
        </w:rPr>
        <w:t>Eiropas digitālo mācību apliecinājuma dokumentu</w:t>
      </w:r>
      <w:r w:rsidRPr="007735EB">
        <w:rPr>
          <w:rFonts w:ascii="Times New Roman" w:eastAsia="Arial" w:hAnsi="Times New Roman" w:cs="Times New Roman"/>
          <w:color w:val="000000" w:themeColor="text1"/>
          <w:sz w:val="24"/>
          <w:szCs w:val="24"/>
          <w:vertAlign w:val="superscript"/>
        </w:rPr>
        <w:footnoteReference w:id="38"/>
      </w:r>
      <w:r w:rsidRPr="007735EB">
        <w:rPr>
          <w:rFonts w:ascii="Times New Roman" w:eastAsia="Times New Roman" w:hAnsi="Times New Roman" w:cs="Times New Roman"/>
          <w:color w:val="000000" w:themeColor="text1"/>
          <w:sz w:val="24"/>
          <w:szCs w:val="24"/>
        </w:rPr>
        <w:t xml:space="preserve"> </w:t>
      </w:r>
      <w:r w:rsidR="00933EC7" w:rsidRPr="007735EB">
        <w:rPr>
          <w:rFonts w:ascii="Times New Roman" w:eastAsia="Times New Roman" w:hAnsi="Times New Roman" w:cs="Times New Roman"/>
          <w:color w:val="000000" w:themeColor="text1"/>
          <w:sz w:val="24"/>
          <w:szCs w:val="24"/>
        </w:rPr>
        <w:t xml:space="preserve">(European Digital Credential for Learning (EDC)), </w:t>
      </w:r>
      <w:r w:rsidRPr="007735EB">
        <w:rPr>
          <w:rFonts w:ascii="Times New Roman" w:eastAsia="Times New Roman" w:hAnsi="Times New Roman" w:cs="Times New Roman"/>
          <w:color w:val="000000" w:themeColor="text1"/>
          <w:sz w:val="24"/>
          <w:szCs w:val="24"/>
        </w:rPr>
        <w:t>nodrošinot viegli pārbaudāmu un AII pielāgojamu infrastruktūru, kas ļauj ne tikai izsniegt, uzglabāt un pārvaldīt digitālos sertifikātus vai uzlīmes, bet arī veicina katra dalībnieka digitālo prasmju pilnveidi.</w:t>
      </w:r>
      <w:r w:rsidR="00BB1D2E" w:rsidRPr="007735EB">
        <w:rPr>
          <w:rFonts w:ascii="Times New Roman" w:hAnsi="Times New Roman" w:cs="Times New Roman"/>
          <w:color w:val="000000" w:themeColor="text1"/>
          <w:sz w:val="24"/>
          <w:szCs w:val="24"/>
        </w:rPr>
        <w:t xml:space="preserve"> </w:t>
      </w:r>
      <w:r w:rsidR="00BB1D2E" w:rsidRPr="007735EB">
        <w:rPr>
          <w:rFonts w:ascii="Times New Roman" w:eastAsia="Times New Roman" w:hAnsi="Times New Roman" w:cs="Times New Roman"/>
          <w:color w:val="000000" w:themeColor="text1"/>
          <w:sz w:val="24"/>
          <w:szCs w:val="24"/>
        </w:rPr>
        <w:t>Ja savā AII izvēlaties izdot EDC, to dalībnieks ērti var pievienot savā Europass</w:t>
      </w:r>
      <w:r w:rsidR="00BB1D2E" w:rsidRPr="007735EB">
        <w:rPr>
          <w:rStyle w:val="FootnoteReference"/>
          <w:rFonts w:ascii="Times New Roman" w:eastAsia="Times New Roman" w:hAnsi="Times New Roman" w:cs="Times New Roman"/>
          <w:color w:val="000000" w:themeColor="text1"/>
          <w:sz w:val="24"/>
          <w:szCs w:val="24"/>
        </w:rPr>
        <w:footnoteReference w:id="39"/>
      </w:r>
      <w:r w:rsidR="00BB1D2E" w:rsidRPr="007735EB">
        <w:rPr>
          <w:rFonts w:ascii="Times New Roman" w:eastAsia="Times New Roman" w:hAnsi="Times New Roman" w:cs="Times New Roman"/>
          <w:color w:val="000000" w:themeColor="text1"/>
          <w:sz w:val="24"/>
          <w:szCs w:val="24"/>
        </w:rPr>
        <w:t xml:space="preserve"> kontā, nodrošinot apliecinājuma dokumenta ērtu kopīgošanu un iekļaušanu CV. Europass ļauj ne tikai ērtāk organizēt un pārvaldīt katra dalībnieka individuālos profesionālās kompetences un iegūto zināšanu pierādījumus, bet arī efektīvi komunicēt savas prasmes ar darba devējiem, piedāvājot strukturētu un atzītu formātu mācību rezultātu dokumentēšanai.</w:t>
      </w:r>
    </w:p>
    <w:p w14:paraId="5D8A291A"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Latvijas AII, ieviešot digitālo informācijas uzkrāšanas risinājumus, rekomendējam apsvērt integrāciju ar prasmju pārvaldības platformu STARS</w:t>
      </w:r>
      <w:r w:rsidRPr="007735EB">
        <w:rPr>
          <w:rFonts w:ascii="Times New Roman" w:eastAsia="Arial" w:hAnsi="Times New Roman" w:cs="Times New Roman"/>
          <w:color w:val="000000" w:themeColor="text1"/>
          <w:sz w:val="24"/>
          <w:szCs w:val="24"/>
          <w:vertAlign w:val="superscript"/>
        </w:rPr>
        <w:footnoteReference w:id="40"/>
      </w:r>
      <w:r w:rsidRPr="007735EB">
        <w:rPr>
          <w:rFonts w:ascii="Times New Roman" w:eastAsia="Times New Roman" w:hAnsi="Times New Roman" w:cs="Times New Roman"/>
          <w:color w:val="000000" w:themeColor="text1"/>
          <w:sz w:val="24"/>
          <w:szCs w:val="24"/>
        </w:rPr>
        <w:t>. Platforma STARS piedāvā individuālo mācību kontu sistēmu, kurā profesionālās pilnveides dalībnieki var plānot, uzkrāt un pārvaldīt informāciju par savām prasmēm, izglītību un darba pieredzi, kā arī sekot līdzi mācību progresam. Platforma nodrošina piekļuvi dažādām izglītības programmām, tostarp digitālo prasmju apguvei, ar finansiālu atbalstu, kas veicina pieejamību un motivāciju mācīties.</w:t>
      </w:r>
    </w:p>
    <w:p w14:paraId="5D8A291B" w14:textId="219A200F"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STARS platformas integrācija AII piedāvātajās profesionālas pilnveides programmās ļautu akadēmiskajam personālam un dalībniekiem vienuviet uzkrāt un pārskatāmi prezentēt sasniegumus, kas ir pārbaudāmi un starptautiski atzīti. AII var izmantot STARS datu bāzi gan personisko mācību pārvaldībai, gan sadarbībai ar darba tirgu, veidojot vienotu digitālo vidi profesionālās izaugsmes atbalstam.</w:t>
      </w:r>
      <w:r w:rsidR="0020773F" w:rsidRPr="007735EB">
        <w:rPr>
          <w:rFonts w:ascii="Times New Roman" w:hAnsi="Times New Roman" w:cs="Times New Roman"/>
          <w:color w:val="000000" w:themeColor="text1"/>
          <w:sz w:val="24"/>
          <w:szCs w:val="24"/>
        </w:rPr>
        <w:t xml:space="preserve"> </w:t>
      </w:r>
      <w:r w:rsidR="0020773F" w:rsidRPr="007735EB">
        <w:rPr>
          <w:rFonts w:ascii="Times New Roman" w:eastAsia="Times New Roman" w:hAnsi="Times New Roman" w:cs="Times New Roman"/>
          <w:color w:val="000000" w:themeColor="text1"/>
          <w:sz w:val="24"/>
          <w:szCs w:val="24"/>
        </w:rPr>
        <w:t>Tāpat STARS nodrošina ērtu PPP pieteikumu pieņemšanas procesa pārvaldību un iespēju sekot līdzi programmas īstenošanas progresam, t. sk. novērtējuma anketas aizpildīšanas iespēju.</w:t>
      </w:r>
    </w:p>
    <w:p w14:paraId="5D8A291D" w14:textId="5D194569" w:rsidR="00AB05AE" w:rsidRPr="007735EB" w:rsidRDefault="00B34C34"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Eiropas izglītības telpā tiek piedāvāti vairāki risinājumi, kas atbilst Eiropas Savienības Padomes ieteikumiem par Eiropas pieeju mikroapliecinājumiem mūžizglītībā un nodarbināmībā</w:t>
      </w:r>
      <w:r w:rsidRPr="007735EB">
        <w:rPr>
          <w:rStyle w:val="FootnoteReference"/>
          <w:rFonts w:ascii="Times New Roman" w:eastAsia="Times New Roman" w:hAnsi="Times New Roman" w:cs="Times New Roman"/>
          <w:color w:val="000000" w:themeColor="text1"/>
          <w:sz w:val="24"/>
          <w:szCs w:val="24"/>
        </w:rPr>
        <w:footnoteReference w:id="41"/>
      </w:r>
      <w:r w:rsidRPr="007735EB">
        <w:rPr>
          <w:rFonts w:ascii="Times New Roman" w:eastAsia="Times New Roman" w:hAnsi="Times New Roman" w:cs="Times New Roman"/>
          <w:color w:val="000000" w:themeColor="text1"/>
          <w:sz w:val="24"/>
          <w:szCs w:val="24"/>
        </w:rPr>
        <w:t>, bet neatkarīgi no AII izvēles digitālās informācijas uzkrāšanas risinājuma izvēlei, īpaši aicinām pievērst uzmanību privātuma aizsardzībai un datu drošībai, ievērojot personu datu aizsardzības standartus, lai nodrošinātu dalībnieku datu konfidencialitāti, vienlaikus dodot tiem pieeju un kontroli pār savu mācību sasniegumu vēsturi, ikvienam dodot iespēju ērti veidot savu zināšanu, prasmju un kompetenču portfolio</w:t>
      </w:r>
      <w:r w:rsidR="002542EB" w:rsidRPr="007735EB">
        <w:rPr>
          <w:rFonts w:ascii="Times New Roman" w:eastAsia="Times New Roman" w:hAnsi="Times New Roman" w:cs="Times New Roman"/>
          <w:color w:val="000000" w:themeColor="text1"/>
          <w:sz w:val="24"/>
          <w:szCs w:val="24"/>
        </w:rPr>
        <w:t>.</w:t>
      </w:r>
    </w:p>
    <w:p w14:paraId="5D8A2920" w14:textId="79138592" w:rsidR="00AB05AE" w:rsidRPr="00E274BA" w:rsidRDefault="004B7ED8" w:rsidP="00E274BA">
      <w:pPr>
        <w:pStyle w:val="Heading1"/>
        <w:numPr>
          <w:ilvl w:val="0"/>
          <w:numId w:val="21"/>
        </w:numPr>
        <w:spacing w:before="480" w:after="120"/>
        <w:ind w:left="1077" w:hanging="357"/>
        <w:rPr>
          <w:rFonts w:ascii="Times New Roman" w:eastAsia="Times New Roman" w:hAnsi="Times New Roman" w:cs="Times New Roman"/>
          <w:b/>
          <w:bCs/>
          <w:color w:val="000000" w:themeColor="text1"/>
          <w:sz w:val="28"/>
          <w:szCs w:val="28"/>
        </w:rPr>
      </w:pPr>
      <w:bookmarkStart w:id="20" w:name="_Toc218505017"/>
      <w:r w:rsidRPr="00E274BA">
        <w:rPr>
          <w:rFonts w:ascii="Times New Roman" w:eastAsia="Times New Roman" w:hAnsi="Times New Roman" w:cs="Times New Roman"/>
          <w:b/>
          <w:bCs/>
          <w:color w:val="000000" w:themeColor="text1"/>
          <w:sz w:val="28"/>
          <w:szCs w:val="28"/>
        </w:rPr>
        <w:t>Kvalitātes nodrošināšanas procedūras</w:t>
      </w:r>
      <w:bookmarkEnd w:id="20"/>
    </w:p>
    <w:p w14:paraId="5D8A2921" w14:textId="4E654940" w:rsidR="00AB05AE" w:rsidRPr="00E274BA" w:rsidRDefault="00F03B1C" w:rsidP="00E274BA">
      <w:pPr>
        <w:pStyle w:val="Heading2"/>
        <w:spacing w:before="120" w:after="120"/>
        <w:ind w:left="720"/>
        <w:rPr>
          <w:rFonts w:ascii="Times New Roman" w:eastAsia="Times New Roman" w:hAnsi="Times New Roman" w:cs="Times New Roman"/>
          <w:b/>
          <w:bCs/>
          <w:color w:val="000000" w:themeColor="text1"/>
          <w:sz w:val="24"/>
          <w:szCs w:val="24"/>
        </w:rPr>
      </w:pPr>
      <w:r w:rsidRPr="00E274BA">
        <w:rPr>
          <w:rFonts w:ascii="Times New Roman" w:eastAsia="Times New Roman" w:hAnsi="Times New Roman" w:cs="Times New Roman"/>
          <w:b/>
          <w:bCs/>
          <w:color w:val="000000" w:themeColor="text1"/>
          <w:sz w:val="24"/>
          <w:szCs w:val="24"/>
        </w:rPr>
        <w:t xml:space="preserve"> </w:t>
      </w:r>
      <w:bookmarkStart w:id="21" w:name="_Toc218505018"/>
      <w:r w:rsidR="00E274BA">
        <w:rPr>
          <w:rFonts w:ascii="Times New Roman" w:eastAsia="Times New Roman" w:hAnsi="Times New Roman" w:cs="Times New Roman"/>
          <w:b/>
          <w:bCs/>
          <w:color w:val="000000" w:themeColor="text1"/>
          <w:sz w:val="24"/>
          <w:szCs w:val="24"/>
        </w:rPr>
        <w:t xml:space="preserve">5.1. </w:t>
      </w:r>
      <w:r w:rsidRPr="00E274BA">
        <w:rPr>
          <w:rFonts w:ascii="Times New Roman" w:eastAsia="Times New Roman" w:hAnsi="Times New Roman" w:cs="Times New Roman"/>
          <w:b/>
          <w:bCs/>
          <w:color w:val="000000" w:themeColor="text1"/>
          <w:sz w:val="24"/>
          <w:szCs w:val="24"/>
        </w:rPr>
        <w:t>Iekšējās kvalitātes pamatprasības</w:t>
      </w:r>
      <w:bookmarkEnd w:id="21"/>
    </w:p>
    <w:p w14:paraId="5D8A2923"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Profesionālas pilnveides programmas kvalitāte tiek nodrošināta, pamatojoties uz Eiropas augstākās izglītības telpas kvalitātes nodrošināšanas standartiem un vadlīnijām (ESG) un Latvijā spēkā esošajiem normatīvajiem dokumentiem, kuros iezīmētas šādas minimālās prasības iekšējai kvalitātes nodrošināšanai:</w:t>
      </w:r>
    </w:p>
    <w:p w14:paraId="5D8A2924"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lastRenderedPageBreak/>
        <w:t>programmas izveide balstās uz skaidriem un izmērāmiem mērķiem, standartiem un pamatnostādnēm, nodrošinot tam piemērotus mācību un tehniskos resursus;</w:t>
      </w:r>
    </w:p>
    <w:p w14:paraId="5D8A2925"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programmas izveide un īstenošana ir daļa no AII mūžizglītības stratēģijas;</w:t>
      </w:r>
    </w:p>
    <w:p w14:paraId="5D8A2926"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tās tiek veidotas no</w:t>
      </w:r>
      <w:r w:rsidRPr="007735EB">
        <w:rPr>
          <w:rFonts w:ascii="Times New Roman" w:eastAsia="Times New Roman" w:hAnsi="Times New Roman" w:cs="Times New Roman"/>
          <w:color w:val="000000" w:themeColor="text1"/>
          <w:sz w:val="24"/>
          <w:szCs w:val="24"/>
          <w:highlight w:val="white"/>
        </w:rPr>
        <w:t xml:space="preserve"> akreditētas augstākās izglītības programmas daļas, kas nodrošina profesionālās kvalifikācijas ieguvi;</w:t>
      </w:r>
    </w:p>
    <w:p w14:paraId="5D8A2927"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AII ir ieviests iekšējais normatīvs, kas skaidri nosaka procedūras programmu izveidošanai, apstiprināšanai, īstenošanai un novērtēšanai;</w:t>
      </w:r>
    </w:p>
    <w:p w14:paraId="5D8A2928"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AII ir ieviests iekšējais normatīvs, kas nosaka iepriekš sasniegto mācību rezultātu atzšīnanas procesu;</w:t>
      </w:r>
    </w:p>
    <w:p w14:paraId="5D8A2929"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ir noteikta  struktūrvienība, kas atbild par mācību ieviešanu, īstenošanu un uzraudzības  jautājumiem, sniedzot atbalsta funkciju gan akadēmiskajam personālam, gan dalībniekiem;</w:t>
      </w:r>
    </w:p>
    <w:p w14:paraId="5D8A292A"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tiek veikta regulāra programmu izvērtēšana un uzlabošana, iesaistot dalībniekus, darba devējus un akadēmisko personālu, </w:t>
      </w:r>
      <w:r w:rsidRPr="007735EB">
        <w:rPr>
          <w:rFonts w:ascii="Times New Roman" w:eastAsia="Times New Roman" w:hAnsi="Times New Roman" w:cs="Times New Roman"/>
          <w:color w:val="000000" w:themeColor="text1"/>
          <w:sz w:val="24"/>
          <w:szCs w:val="24"/>
          <w:highlight w:val="white"/>
        </w:rPr>
        <w:t>ietverot atgriezeniskās saites mehānismus un pastāvīgas programmas uzlabošanas procedūras</w:t>
      </w:r>
      <w:r w:rsidRPr="007735EB">
        <w:rPr>
          <w:rFonts w:ascii="Times New Roman" w:eastAsia="Times New Roman" w:hAnsi="Times New Roman" w:cs="Times New Roman"/>
          <w:color w:val="000000" w:themeColor="text1"/>
          <w:sz w:val="24"/>
          <w:szCs w:val="24"/>
        </w:rPr>
        <w:t>, t.sk. nodrošinot sūdzību iesniegšanas iespējas.</w:t>
      </w:r>
    </w:p>
    <w:p w14:paraId="5D8A292B"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AII veido sadarbību starp darba devējiem un citām ieinteresētajām pusēm, lai nodrošinātu programmu kvalitāti un tās satura aktualitāti darba tirgus prasībām.</w:t>
      </w:r>
    </w:p>
    <w:p w14:paraId="5D8A292C" w14:textId="77777777" w:rsidR="00AB05AE" w:rsidRPr="007735EB" w:rsidRDefault="004B7ED8" w:rsidP="00E274BA">
      <w:pPr>
        <w:numPr>
          <w:ilvl w:val="0"/>
          <w:numId w:val="28"/>
        </w:numPr>
        <w:spacing w:after="0"/>
        <w:ind w:left="1077" w:hanging="357"/>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tiek uzturēta regulāra aktuālās informācijas aprite sabiedrībā par profesionālās izaugsmes iespējām un pieteikšanās kārtību.</w:t>
      </w:r>
    </w:p>
    <w:p w14:paraId="5D8A292E"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Programmu iekšējās kvalitātes procesu īstenošanā aicinām izmantot  </w:t>
      </w:r>
      <w:r w:rsidRPr="007735EB">
        <w:rPr>
          <w:rFonts w:ascii="Times New Roman" w:eastAsia="Times New Roman" w:hAnsi="Times New Roman" w:cs="Times New Roman"/>
          <w:i/>
          <w:iCs/>
          <w:color w:val="000000" w:themeColor="text1"/>
          <w:sz w:val="24"/>
          <w:szCs w:val="24"/>
        </w:rPr>
        <w:t>Deminga apļa</w:t>
      </w:r>
      <w:r w:rsidRPr="007735EB">
        <w:rPr>
          <w:rFonts w:ascii="Times New Roman" w:eastAsia="Times New Roman" w:hAnsi="Times New Roman" w:cs="Times New Roman"/>
          <w:color w:val="000000" w:themeColor="text1"/>
          <w:sz w:val="24"/>
          <w:szCs w:val="24"/>
          <w:vertAlign w:val="superscript"/>
        </w:rPr>
        <w:footnoteReference w:id="42"/>
      </w:r>
      <w:r w:rsidRPr="007735EB">
        <w:rPr>
          <w:rFonts w:ascii="Times New Roman" w:eastAsia="Times New Roman" w:hAnsi="Times New Roman" w:cs="Times New Roman"/>
          <w:color w:val="000000" w:themeColor="text1"/>
          <w:sz w:val="24"/>
          <w:szCs w:val="24"/>
        </w:rPr>
        <w:t xml:space="preserve"> (Plāno–Izpildi–Pārbaudi–Rīkojies) kvalitātes nodrošināšanas cikla principu, kas palīdz uzturēt sistemātisku un nepārtrauktu PPP pilnveidi, ievērojot iekšējās kvalitātes pamatprasības.</w:t>
      </w:r>
    </w:p>
    <w:p w14:paraId="5D8A292F" w14:textId="77777777" w:rsidR="00AB05AE" w:rsidRPr="007735EB" w:rsidRDefault="00AB05AE" w:rsidP="007735EB">
      <w:pPr>
        <w:spacing w:before="120" w:after="120"/>
        <w:ind w:firstLine="720"/>
        <w:jc w:val="both"/>
        <w:rPr>
          <w:rFonts w:ascii="Times New Roman" w:eastAsia="Times New Roman" w:hAnsi="Times New Roman" w:cs="Times New Roman"/>
          <w:color w:val="000000" w:themeColor="text1"/>
          <w:sz w:val="24"/>
          <w:szCs w:val="24"/>
        </w:rPr>
      </w:pPr>
    </w:p>
    <w:p w14:paraId="5D8A2930" w14:textId="77777777" w:rsidR="00AB05AE" w:rsidRPr="007735EB" w:rsidRDefault="004B7ED8" w:rsidP="007735EB">
      <w:pPr>
        <w:spacing w:before="120" w:after="120"/>
        <w:ind w:hanging="180"/>
        <w:jc w:val="center"/>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noProof/>
          <w:color w:val="000000" w:themeColor="text1"/>
          <w:sz w:val="24"/>
          <w:szCs w:val="24"/>
        </w:rPr>
        <w:lastRenderedPageBreak/>
        <w:drawing>
          <wp:inline distT="114300" distB="114300" distL="114300" distR="114300" wp14:anchorId="5D8A2964" wp14:editId="5FA1A598">
            <wp:extent cx="5638800" cy="4335780"/>
            <wp:effectExtent l="0" t="0" r="0" b="762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639002" cy="4335935"/>
                    </a:xfrm>
                    <a:prstGeom prst="rect">
                      <a:avLst/>
                    </a:prstGeom>
                    <a:ln/>
                  </pic:spPr>
                </pic:pic>
              </a:graphicData>
            </a:graphic>
          </wp:inline>
        </w:drawing>
      </w:r>
    </w:p>
    <w:p w14:paraId="5D8A2932" w14:textId="77777777" w:rsidR="00AB05AE" w:rsidRPr="007735EB" w:rsidRDefault="00AB05AE" w:rsidP="007735EB">
      <w:pPr>
        <w:spacing w:before="120" w:after="120"/>
        <w:rPr>
          <w:rFonts w:ascii="Times New Roman" w:eastAsia="Times New Roman" w:hAnsi="Times New Roman" w:cs="Times New Roman"/>
          <w:color w:val="000000" w:themeColor="text1"/>
          <w:sz w:val="24"/>
          <w:szCs w:val="24"/>
        </w:rPr>
      </w:pPr>
    </w:p>
    <w:p w14:paraId="5D8A2933" w14:textId="77777777" w:rsidR="00AB05AE" w:rsidRPr="007735EB" w:rsidRDefault="004B7ED8" w:rsidP="007735EB">
      <w:pPr>
        <w:spacing w:before="120" w:after="120"/>
        <w:ind w:hanging="180"/>
        <w:jc w:val="center"/>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1.attēls. </w:t>
      </w:r>
      <w:r w:rsidRPr="007735EB">
        <w:rPr>
          <w:rFonts w:ascii="Times New Roman" w:eastAsia="Times New Roman" w:hAnsi="Times New Roman" w:cs="Times New Roman"/>
          <w:i/>
          <w:iCs/>
          <w:color w:val="000000" w:themeColor="text1"/>
          <w:sz w:val="24"/>
          <w:szCs w:val="24"/>
        </w:rPr>
        <w:t>Deminga aplis</w:t>
      </w:r>
      <w:r w:rsidRPr="007735EB">
        <w:rPr>
          <w:rFonts w:ascii="Times New Roman" w:eastAsia="Times New Roman" w:hAnsi="Times New Roman" w:cs="Times New Roman"/>
          <w:color w:val="000000" w:themeColor="text1"/>
          <w:sz w:val="24"/>
          <w:szCs w:val="24"/>
        </w:rPr>
        <w:t xml:space="preserve"> iekšējās kvalitātes procesu īstenošanai.</w:t>
      </w:r>
    </w:p>
    <w:p w14:paraId="5D8A2934" w14:textId="77777777" w:rsidR="00AB05AE" w:rsidRPr="007735EB" w:rsidRDefault="00AB05AE" w:rsidP="007735EB">
      <w:pPr>
        <w:spacing w:before="120" w:after="120"/>
        <w:ind w:firstLine="720"/>
        <w:jc w:val="both"/>
        <w:rPr>
          <w:rFonts w:ascii="Times New Roman" w:eastAsia="Times New Roman" w:hAnsi="Times New Roman" w:cs="Times New Roman"/>
          <w:color w:val="000000" w:themeColor="text1"/>
          <w:sz w:val="24"/>
          <w:szCs w:val="24"/>
        </w:rPr>
      </w:pPr>
    </w:p>
    <w:p w14:paraId="5D8A2935" w14:textId="4DC2EB69"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i/>
          <w:iCs/>
          <w:color w:val="000000" w:themeColor="text1"/>
          <w:sz w:val="24"/>
          <w:szCs w:val="24"/>
        </w:rPr>
        <w:t>Deminga apļa</w:t>
      </w:r>
      <w:r w:rsidRPr="007735EB">
        <w:rPr>
          <w:rFonts w:ascii="Tahoma" w:eastAsia="Arial" w:hAnsi="Tahoma" w:cs="Tahoma"/>
          <w:color w:val="000000" w:themeColor="text1"/>
          <w:sz w:val="24"/>
          <w:szCs w:val="24"/>
        </w:rPr>
        <w:t>﻿</w:t>
      </w:r>
      <w:r w:rsidRPr="007735EB">
        <w:rPr>
          <w:rFonts w:ascii="Times New Roman" w:eastAsia="Times New Roman" w:hAnsi="Times New Roman" w:cs="Times New Roman"/>
          <w:color w:val="000000" w:themeColor="text1"/>
          <w:sz w:val="24"/>
          <w:szCs w:val="24"/>
        </w:rPr>
        <w:t xml:space="preserve"> principa pamatbūtība ir nodrošināt </w:t>
      </w:r>
      <w:r w:rsidR="00F32BFC">
        <w:rPr>
          <w:rFonts w:ascii="Times New Roman" w:eastAsia="Times New Roman" w:hAnsi="Times New Roman" w:cs="Times New Roman"/>
          <w:color w:val="000000" w:themeColor="text1"/>
          <w:sz w:val="24"/>
          <w:szCs w:val="24"/>
        </w:rPr>
        <w:t>pastāvīgu</w:t>
      </w:r>
      <w:r w:rsidRPr="007735EB">
        <w:rPr>
          <w:rFonts w:ascii="Times New Roman" w:eastAsia="Times New Roman" w:hAnsi="Times New Roman" w:cs="Times New Roman"/>
          <w:color w:val="000000" w:themeColor="text1"/>
          <w:sz w:val="24"/>
          <w:szCs w:val="24"/>
        </w:rPr>
        <w:t xml:space="preserve"> pilnveidošanos, izmantojot četrus soļus: plānošanu, īstenošanu, pārbaudi un rīcību. Šis cikls palīdz noteikt mērķus, ieviest izmaiņas, novērtēt to efektivitāti un veikt nepieciešamās korekcijas, veicinot mērķtiecīgu kvalitātes uzlabošanu. Šāda</w:t>
      </w:r>
      <w:r w:rsidRPr="007735EB">
        <w:rPr>
          <w:rFonts w:ascii="Tahoma" w:eastAsia="Arial" w:hAnsi="Tahoma" w:cs="Tahoma"/>
          <w:color w:val="000000" w:themeColor="text1"/>
          <w:sz w:val="24"/>
          <w:szCs w:val="24"/>
        </w:rPr>
        <w:t>﻿</w:t>
      </w:r>
      <w:r w:rsidRPr="007735EB">
        <w:rPr>
          <w:rFonts w:ascii="Times New Roman" w:eastAsia="Times New Roman" w:hAnsi="Times New Roman" w:cs="Times New Roman"/>
          <w:color w:val="000000" w:themeColor="text1"/>
          <w:sz w:val="24"/>
          <w:szCs w:val="24"/>
        </w:rPr>
        <w:t xml:space="preserve"> pieeja padara kvalitātes vadību dinamiski pielāgojamu un balstītu uz reāliem datiem un faktiskajiem rezultātiem.  Būtiski ņemt vērā, ka </w:t>
      </w:r>
      <w:r w:rsidRPr="007735EB">
        <w:rPr>
          <w:rFonts w:ascii="Times New Roman" w:eastAsia="Times New Roman" w:hAnsi="Times New Roman" w:cs="Times New Roman"/>
          <w:i/>
          <w:iCs/>
          <w:color w:val="000000" w:themeColor="text1"/>
          <w:sz w:val="24"/>
          <w:szCs w:val="24"/>
        </w:rPr>
        <w:t>Deminga apļa</w:t>
      </w:r>
      <w:r w:rsidRPr="007735EB">
        <w:rPr>
          <w:rFonts w:ascii="Times New Roman" w:eastAsia="Times New Roman" w:hAnsi="Times New Roman" w:cs="Times New Roman"/>
          <w:color w:val="000000" w:themeColor="text1"/>
          <w:sz w:val="24"/>
          <w:szCs w:val="24"/>
        </w:rPr>
        <w:t xml:space="preserve"> cikls nav domāts vienreizējai darbībai — tas ir nepārtraukts process, lai regulāri veiktu programmas īstenošanas novērtējumu un ieviest nepieciešamos uzlabojumus.</w:t>
      </w:r>
    </w:p>
    <w:p w14:paraId="5D8A2937" w14:textId="718884A4" w:rsidR="00AB05AE" w:rsidRPr="00E274BA" w:rsidRDefault="00E274BA" w:rsidP="00E274BA">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22" w:name="_Toc218505019"/>
      <w:r w:rsidRPr="00E274BA">
        <w:rPr>
          <w:rFonts w:ascii="Times New Roman" w:eastAsia="Times New Roman" w:hAnsi="Times New Roman" w:cs="Times New Roman"/>
          <w:b/>
          <w:bCs/>
          <w:color w:val="000000" w:themeColor="text1"/>
          <w:sz w:val="24"/>
          <w:szCs w:val="24"/>
        </w:rPr>
        <w:t>Informācijas pieejamība</w:t>
      </w:r>
      <w:bookmarkEnd w:id="22"/>
    </w:p>
    <w:p w14:paraId="5D8A2939" w14:textId="77777777" w:rsidR="00AB05AE" w:rsidRPr="007735EB" w:rsidRDefault="004B7ED8" w:rsidP="007735EB">
      <w:pPr>
        <w:pBdr>
          <w:top w:val="nil"/>
          <w:left w:val="nil"/>
          <w:bottom w:val="nil"/>
          <w:right w:val="nil"/>
          <w:between w:val="nil"/>
        </w:pBd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Atbilstoši</w:t>
      </w:r>
      <w:r w:rsidRPr="007735EB">
        <w:rPr>
          <w:rFonts w:ascii="Times New Roman" w:eastAsia="Times New Roman" w:hAnsi="Times New Roman" w:cs="Times New Roman"/>
          <w:b/>
          <w:bCs/>
          <w:color w:val="000000" w:themeColor="text1"/>
          <w:sz w:val="24"/>
          <w:szCs w:val="24"/>
        </w:rPr>
        <w:t xml:space="preserve"> </w:t>
      </w:r>
      <w:r w:rsidRPr="007735EB">
        <w:rPr>
          <w:rFonts w:ascii="Times New Roman" w:eastAsia="Times New Roman" w:hAnsi="Times New Roman" w:cs="Times New Roman"/>
          <w:color w:val="000000" w:themeColor="text1"/>
          <w:sz w:val="24"/>
          <w:szCs w:val="24"/>
        </w:rPr>
        <w:t xml:space="preserve"> QUATRA – TPG A  izstrādātajām mikrokvalifikāciju rekomendācijām un vadlīnijām</w:t>
      </w:r>
      <w:r w:rsidRPr="007735EB">
        <w:rPr>
          <w:rFonts w:ascii="Times New Roman" w:eastAsia="Times New Roman" w:hAnsi="Times New Roman" w:cs="Times New Roman"/>
          <w:color w:val="000000" w:themeColor="text1"/>
          <w:sz w:val="24"/>
          <w:szCs w:val="24"/>
          <w:vertAlign w:val="superscript"/>
        </w:rPr>
        <w:footnoteReference w:id="43"/>
      </w:r>
      <w:r w:rsidRPr="007735EB">
        <w:rPr>
          <w:rFonts w:ascii="Times New Roman" w:eastAsia="Times New Roman" w:hAnsi="Times New Roman" w:cs="Times New Roman"/>
          <w:color w:val="000000" w:themeColor="text1"/>
          <w:sz w:val="24"/>
          <w:szCs w:val="24"/>
        </w:rPr>
        <w:t xml:space="preserve"> AII kursu katalogos jāiekļauj programmas, kurās var iegūt mikrokvalifikāciju, saprotami izskaidrojot visas iespējas, nosacījumus, noteikumus un procedūras saistībā ar mikrokvalifikācijām. Programmu aprakstam jābūt viegli pieejamam tiešsaistē visiem lietotājiem. </w:t>
      </w:r>
    </w:p>
    <w:p w14:paraId="5D8A293A" w14:textId="77777777" w:rsidR="00AB05AE" w:rsidRPr="007735EB" w:rsidRDefault="004B7ED8" w:rsidP="007735EB">
      <w:pPr>
        <w:pBdr>
          <w:top w:val="nil"/>
          <w:left w:val="nil"/>
          <w:bottom w:val="nil"/>
          <w:right w:val="nil"/>
          <w:between w:val="nil"/>
        </w:pBdr>
        <w:spacing w:before="120" w:after="120"/>
        <w:ind w:firstLine="720"/>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 xml:space="preserve">Augstākās izglītības iestādēm ir jāglabā visi ieraksti un dati par mikrokvalifikācijām tāpat, kā tās glabā datus par studiju programmu studentiem un absolventiem. Tas ir svarīgi </w:t>
      </w:r>
      <w:r w:rsidRPr="007735EB">
        <w:rPr>
          <w:rFonts w:ascii="Times New Roman" w:eastAsia="Times New Roman" w:hAnsi="Times New Roman" w:cs="Times New Roman"/>
          <w:color w:val="000000" w:themeColor="text1"/>
          <w:sz w:val="24"/>
          <w:szCs w:val="24"/>
        </w:rPr>
        <w:lastRenderedPageBreak/>
        <w:t>piešķirto dokumentu uzticamībai, pārbaudei, kad vien tas nepieciešams, un pārredzamības un uzticēšanās uzlabošanai starp ieinteresētajām pusēm.</w:t>
      </w:r>
    </w:p>
    <w:p w14:paraId="5D8A293C" w14:textId="4682E2FF" w:rsidR="00AB05AE" w:rsidRPr="00E274BA" w:rsidRDefault="00E274BA" w:rsidP="00E274BA">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bookmarkStart w:id="23" w:name="_Toc218505020"/>
      <w:r w:rsidRPr="00E274BA">
        <w:rPr>
          <w:rFonts w:ascii="Times New Roman" w:eastAsia="Times New Roman" w:hAnsi="Times New Roman" w:cs="Times New Roman"/>
          <w:b/>
          <w:bCs/>
          <w:color w:val="000000" w:themeColor="text1"/>
          <w:sz w:val="24"/>
          <w:szCs w:val="24"/>
        </w:rPr>
        <w:t>Atgriezeniskā saite no visām iesaistītajām pusēm</w:t>
      </w:r>
      <w:bookmarkEnd w:id="23"/>
    </w:p>
    <w:p w14:paraId="5D8A293D" w14:textId="77777777" w:rsidR="00AB05AE" w:rsidRPr="007735EB" w:rsidRDefault="004B7ED8" w:rsidP="007735EB">
      <w:pPr>
        <w:widowControl w:val="0"/>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PPP atgriezeniskās saites sistēma nodrošina nepārtrauktu kvalitātes uzlabošanu, satura aktualitāti un uzticamību darba tirgū. Tā ir instruments, ar kura palīdzību augstākās izglītības iestādes regulāri pārskata programmu efektivitāti, mācīšanās rezultātu sasniegšanu un mācīšanās pieredzes atbilstību dažādu mērķgrupu vajadzībām. Ievāktie dati tiek izmantoti uzlabojumu plānošanai, kvalitātes nodrošināšanai un atklātai informēšanai par programmas rezultātiem.</w:t>
      </w:r>
    </w:p>
    <w:p w14:paraId="5D8A293E" w14:textId="77777777" w:rsidR="00AB05AE" w:rsidRPr="007735EB" w:rsidRDefault="004B7ED8" w:rsidP="007735EB">
      <w:pPr>
        <w:widowControl w:val="0"/>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Augstākās izglītības iestādes nodrošina nepārtrauktu, daudzlīmeņu atgriezeniskās saites sistēmu, kurā iekļaujas visi iesaistītie: programmas dalībnieki, akadēmiskais personāls, darba devēji un institucionālā vadība:</w:t>
      </w:r>
    </w:p>
    <w:p w14:paraId="5D8A293F" w14:textId="77777777" w:rsidR="00AB05AE" w:rsidRPr="007735EB" w:rsidRDefault="004B7ED8" w:rsidP="00E274BA">
      <w:pPr>
        <w:widowControl w:val="0"/>
        <w:numPr>
          <w:ilvl w:val="0"/>
          <w:numId w:val="29"/>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dalībnieki novērtē saturu, mācīšanās pieredzi, digitālo vidi un akadēmiskā personāla darbu;</w:t>
      </w:r>
    </w:p>
    <w:p w14:paraId="5D8A2940" w14:textId="77777777" w:rsidR="00AB05AE" w:rsidRPr="007735EB" w:rsidRDefault="004B7ED8" w:rsidP="00E274BA">
      <w:pPr>
        <w:widowControl w:val="0"/>
        <w:numPr>
          <w:ilvl w:val="0"/>
          <w:numId w:val="29"/>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akadēmiskais personāls novērtē metodikas piemērotību, slodzi, tehnoloǵiju efektivitāti un atbalsta resursus;</w:t>
      </w:r>
    </w:p>
    <w:p w14:paraId="5D8A2941" w14:textId="77777777" w:rsidR="00AB05AE" w:rsidRPr="007735EB" w:rsidRDefault="004B7ED8" w:rsidP="00E274BA">
      <w:pPr>
        <w:widowControl w:val="0"/>
        <w:numPr>
          <w:ilvl w:val="0"/>
          <w:numId w:val="29"/>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darba devēji un nozares partneri novērtē prasmju atbilstību darba vajadzībām un programmu praktisko pielietojamību;</w:t>
      </w:r>
    </w:p>
    <w:p w14:paraId="5D8A2942" w14:textId="77777777" w:rsidR="00AB05AE" w:rsidRPr="007735EB" w:rsidRDefault="004B7ED8" w:rsidP="00E274BA">
      <w:pPr>
        <w:widowControl w:val="0"/>
        <w:numPr>
          <w:ilvl w:val="0"/>
          <w:numId w:val="29"/>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institucionālā vadība un politikas veidotāji analizē kopējos rezultātus, lai uzlabotu programmu ilgtspēju.</w:t>
      </w:r>
    </w:p>
    <w:p w14:paraId="5D8A2943" w14:textId="77777777" w:rsidR="00AB05AE" w:rsidRPr="007735EB" w:rsidRDefault="004B7ED8" w:rsidP="007735EB">
      <w:pPr>
        <w:widowControl w:val="0"/>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Starptautiskās vadlīnijas</w:t>
      </w:r>
      <w:r w:rsidRPr="007735EB">
        <w:rPr>
          <w:rFonts w:ascii="Times New Roman" w:eastAsia="Times New Roman" w:hAnsi="Times New Roman" w:cs="Times New Roman"/>
          <w:color w:val="000000" w:themeColor="text1"/>
          <w:sz w:val="24"/>
          <w:szCs w:val="24"/>
          <w:vertAlign w:val="superscript"/>
        </w:rPr>
        <w:footnoteReference w:id="44"/>
      </w:r>
      <w:r w:rsidRPr="007735EB">
        <w:rPr>
          <w:rFonts w:ascii="Times New Roman" w:eastAsia="Times New Roman" w:hAnsi="Times New Roman" w:cs="Times New Roman"/>
          <w:color w:val="000000" w:themeColor="text1"/>
          <w:sz w:val="24"/>
          <w:szCs w:val="24"/>
          <w:vertAlign w:val="superscript"/>
        </w:rPr>
        <w:t>,</w:t>
      </w:r>
      <w:r w:rsidRPr="007735EB">
        <w:rPr>
          <w:rFonts w:ascii="Times New Roman" w:eastAsia="Times New Roman" w:hAnsi="Times New Roman" w:cs="Times New Roman"/>
          <w:color w:val="000000" w:themeColor="text1"/>
          <w:sz w:val="24"/>
          <w:szCs w:val="24"/>
          <w:vertAlign w:val="superscript"/>
        </w:rPr>
        <w:footnoteReference w:id="45"/>
      </w:r>
      <w:r w:rsidRPr="007735EB">
        <w:rPr>
          <w:rFonts w:ascii="Times New Roman" w:eastAsia="Times New Roman" w:hAnsi="Times New Roman" w:cs="Times New Roman"/>
          <w:color w:val="000000" w:themeColor="text1"/>
          <w:sz w:val="24"/>
          <w:szCs w:val="24"/>
        </w:rPr>
        <w:t xml:space="preserve"> norāda, ka atgriezeniskā saite nav vienreizējs novērtējums, bet dinamisks, daudzlīmeņu un datu balstīts process, kurā:</w:t>
      </w:r>
    </w:p>
    <w:p w14:paraId="5D8A2944" w14:textId="77777777" w:rsidR="00AB05AE" w:rsidRPr="007735EB" w:rsidRDefault="004B7ED8" w:rsidP="00E274BA">
      <w:pPr>
        <w:widowControl w:val="0"/>
        <w:numPr>
          <w:ilvl w:val="0"/>
          <w:numId w:val="30"/>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tiek sistemātiski apkopota informācija no visām iesaistītajām pusēm;</w:t>
      </w:r>
    </w:p>
    <w:p w14:paraId="5D8A2945" w14:textId="77777777" w:rsidR="00AB05AE" w:rsidRPr="007735EB" w:rsidRDefault="004B7ED8" w:rsidP="00E274BA">
      <w:pPr>
        <w:widowControl w:val="0"/>
        <w:numPr>
          <w:ilvl w:val="0"/>
          <w:numId w:val="30"/>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tiek veidots caurspīdīgs atgriezeniskās saites cikls, kas noved pie konkrētiem uzlabojumiem;</w:t>
      </w:r>
    </w:p>
    <w:p w14:paraId="5D8A2946" w14:textId="77777777" w:rsidR="00AB05AE" w:rsidRPr="007735EB" w:rsidRDefault="004B7ED8" w:rsidP="00E274BA">
      <w:pPr>
        <w:widowControl w:val="0"/>
        <w:numPr>
          <w:ilvl w:val="0"/>
          <w:numId w:val="30"/>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dati tiek analizēti gan kvantitatīvi, gan kvalitatīvi, izmantojot digitālus instrumentus un anketas, strukturētus dialogus un koprades seminārus.</w:t>
      </w:r>
    </w:p>
    <w:p w14:paraId="5D8A2947" w14:textId="77777777" w:rsidR="00AB05AE" w:rsidRPr="007735EB" w:rsidRDefault="004B7ED8" w:rsidP="00E274BA">
      <w:pPr>
        <w:widowControl w:val="0"/>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Atgriezenisko saiti var organizēt vairākos posmos un līmeņos:</w:t>
      </w:r>
    </w:p>
    <w:p w14:paraId="5D8A2948" w14:textId="77777777" w:rsidR="00AB05AE" w:rsidRPr="007735EB" w:rsidRDefault="004B7ED8" w:rsidP="00E274BA">
      <w:pPr>
        <w:widowControl w:val="0"/>
        <w:numPr>
          <w:ilvl w:val="0"/>
          <w:numId w:val="31"/>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formālā atgriezeniskā saite, kas ietver regulāras digitālās aptaujas pēc katras programmas vai moduļa (dalībnieku apmierinātība, satura aktualitāte, mācību platformas lietojamība), darba devēju vērtējuma anketas par darbinieku kompetenču izmaiņām un prasmju piemērotību darba vidē, akadēmiskā personāla pašnovērtējuma lapas (pedagoģisko metožu un resursu efektivitāte);</w:t>
      </w:r>
    </w:p>
    <w:p w14:paraId="5D8A2949" w14:textId="77777777" w:rsidR="00AB05AE" w:rsidRPr="007735EB" w:rsidRDefault="004B7ED8" w:rsidP="00E274BA">
      <w:pPr>
        <w:widowControl w:val="0"/>
        <w:numPr>
          <w:ilvl w:val="0"/>
          <w:numId w:val="31"/>
        </w:numPr>
        <w:spacing w:after="0"/>
        <w:ind w:left="1077" w:hanging="357"/>
        <w:jc w:val="both"/>
        <w:rPr>
          <w:rFonts w:ascii="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neformālā un kvalitatīvā atgriezeniskā saite, kas ietver fokusgrupas ar dalībniekiem un uzņēmumiem; koprades darbnīcas; tiešsaistes forumus un kopienas, kur izglītojamie un darba devēji var apmainīties ar pieredzi reāllaikā.</w:t>
      </w:r>
    </w:p>
    <w:p w14:paraId="5D8A294B" w14:textId="63D1F4D1" w:rsidR="00AB05AE" w:rsidRPr="00703A0C" w:rsidRDefault="00703A0C" w:rsidP="00703A0C">
      <w:pPr>
        <w:pStyle w:val="Heading2"/>
        <w:numPr>
          <w:ilvl w:val="1"/>
          <w:numId w:val="21"/>
        </w:numPr>
        <w:spacing w:before="120" w:after="120"/>
        <w:ind w:left="1077" w:hanging="3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 xml:space="preserve"> </w:t>
      </w:r>
      <w:bookmarkStart w:id="24" w:name="_Toc218505021"/>
      <w:r w:rsidRPr="00703A0C">
        <w:rPr>
          <w:rFonts w:ascii="Times New Roman" w:eastAsia="Times New Roman" w:hAnsi="Times New Roman" w:cs="Times New Roman"/>
          <w:b/>
          <w:bCs/>
          <w:color w:val="000000" w:themeColor="text1"/>
          <w:sz w:val="24"/>
          <w:szCs w:val="24"/>
        </w:rPr>
        <w:t>Atgriezeniskās saites sniegto datu pielietojums</w:t>
      </w:r>
      <w:bookmarkEnd w:id="24"/>
      <w:r w:rsidRPr="00703A0C">
        <w:rPr>
          <w:rFonts w:ascii="Times New Roman" w:eastAsia="Times New Roman" w:hAnsi="Times New Roman" w:cs="Times New Roman"/>
          <w:b/>
          <w:bCs/>
          <w:color w:val="000000" w:themeColor="text1"/>
          <w:sz w:val="24"/>
          <w:szCs w:val="24"/>
        </w:rPr>
        <w:t xml:space="preserve"> </w:t>
      </w:r>
    </w:p>
    <w:p w14:paraId="5D8A294D" w14:textId="77777777" w:rsidR="00AB05AE" w:rsidRPr="007735EB" w:rsidRDefault="004B7ED8" w:rsidP="007735EB">
      <w:pPr>
        <w:spacing w:before="120" w:after="120"/>
        <w:ind w:firstLine="7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color w:val="000000" w:themeColor="text1"/>
          <w:sz w:val="24"/>
          <w:szCs w:val="24"/>
        </w:rPr>
        <w:t>Kā norādīts iepriekš, efektīva atgriezeniskā saite nav tikai datu uzkrāšanas mehānisms, bet strateģisks rīks PPP vadībai, kvalitātes uzlabošanai un ilgtspējai. Starptautiskā pieredze liecina, ka tikai tad, ja atgriezeniskā saite tiek aktīvi pielietota, analizēta un ieviesta praksē, tā spēj sniegt jēgpilnus rezultātus visām iesaistītajām pusēm. Tālāk sniegts atgriezeniskās saites pielietojuma raksturojums.</w:t>
      </w:r>
    </w:p>
    <w:p w14:paraId="5D8A294E" w14:textId="77777777" w:rsidR="00AB05AE" w:rsidRPr="007735EB" w:rsidRDefault="004B7ED8" w:rsidP="007735EB">
      <w:pP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1. Ciklisks uzlabojumu process. </w:t>
      </w:r>
      <w:r w:rsidRPr="007735EB">
        <w:rPr>
          <w:rFonts w:ascii="Times New Roman" w:eastAsia="Times New Roman" w:hAnsi="Times New Roman" w:cs="Times New Roman"/>
          <w:color w:val="000000" w:themeColor="text1"/>
          <w:sz w:val="24"/>
          <w:szCs w:val="24"/>
        </w:rPr>
        <w:t>Piemēram, Somijā un Īrijā PPP atgriezeniskās saites sistēmas tiek veidotas kā cikliski atjaunināmi kvalitātes uzlabošanas mehānismi. Saņemtie dati par mācību pieredzi, satura aktualitāti un darba tirgus atbilstību tiek izmantoti, lai pielāgotu programmu saturu, mainītu metodoloģiju vai ieviestu jaunas satura vienības</w:t>
      </w:r>
      <w:r w:rsidRPr="007735EB">
        <w:rPr>
          <w:rFonts w:ascii="Times New Roman" w:eastAsia="Times New Roman" w:hAnsi="Times New Roman" w:cs="Times New Roman"/>
          <w:color w:val="000000" w:themeColor="text1"/>
          <w:sz w:val="24"/>
          <w:szCs w:val="24"/>
          <w:vertAlign w:val="superscript"/>
        </w:rPr>
        <w:footnoteReference w:id="46"/>
      </w:r>
      <w:r w:rsidRPr="007735EB">
        <w:rPr>
          <w:rFonts w:ascii="Times New Roman" w:eastAsia="Times New Roman" w:hAnsi="Times New Roman" w:cs="Times New Roman"/>
          <w:color w:val="000000" w:themeColor="text1"/>
          <w:sz w:val="24"/>
          <w:szCs w:val="24"/>
          <w:vertAlign w:val="superscript"/>
        </w:rPr>
        <w:t>,</w:t>
      </w:r>
      <w:r w:rsidRPr="007735EB">
        <w:rPr>
          <w:rFonts w:ascii="Times New Roman" w:eastAsia="Times New Roman" w:hAnsi="Times New Roman" w:cs="Times New Roman"/>
          <w:color w:val="000000" w:themeColor="text1"/>
          <w:sz w:val="24"/>
          <w:szCs w:val="24"/>
          <w:vertAlign w:val="superscript"/>
        </w:rPr>
        <w:footnoteReference w:id="47"/>
      </w:r>
      <w:r w:rsidRPr="007735EB">
        <w:rPr>
          <w:rFonts w:ascii="Times New Roman" w:eastAsia="Times New Roman" w:hAnsi="Times New Roman" w:cs="Times New Roman"/>
          <w:color w:val="000000" w:themeColor="text1"/>
          <w:sz w:val="24"/>
          <w:szCs w:val="24"/>
        </w:rPr>
        <w:t>;</w:t>
      </w:r>
    </w:p>
    <w:p w14:paraId="5D8A294F" w14:textId="77777777" w:rsidR="00AB05AE" w:rsidRPr="007735EB" w:rsidRDefault="004B7ED8" w:rsidP="007735EB">
      <w:pP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2. Lēmumu pieņemšana sadarbībā ar nozarēm. </w:t>
      </w:r>
      <w:r w:rsidRPr="007735EB">
        <w:rPr>
          <w:rFonts w:ascii="Times New Roman" w:eastAsia="Times New Roman" w:hAnsi="Times New Roman" w:cs="Times New Roman"/>
          <w:color w:val="000000" w:themeColor="text1"/>
          <w:sz w:val="24"/>
          <w:szCs w:val="24"/>
        </w:rPr>
        <w:t>Piemēram, Igaunijā un Nīderlandē atgriezeniskā saite no nozares partneriem tiek tieši sasaistīta ar lēmumu pieņemšanu: programmu valdes vai konsultatīvās padomes analizē darba devēju atziņas un ierosinājumus, kas tiek izmantoti mācību satura atjaunināšanai un nākamo PPP virzienu izvēlei</w:t>
      </w:r>
      <w:r w:rsidRPr="007735EB">
        <w:rPr>
          <w:rFonts w:ascii="Times New Roman" w:eastAsia="Times New Roman" w:hAnsi="Times New Roman" w:cs="Times New Roman"/>
          <w:color w:val="000000" w:themeColor="text1"/>
          <w:sz w:val="24"/>
          <w:szCs w:val="24"/>
          <w:vertAlign w:val="superscript"/>
        </w:rPr>
        <w:footnoteReference w:id="48"/>
      </w:r>
      <w:r w:rsidRPr="007735EB">
        <w:rPr>
          <w:rFonts w:ascii="Times New Roman" w:eastAsia="Times New Roman" w:hAnsi="Times New Roman" w:cs="Times New Roman"/>
          <w:color w:val="000000" w:themeColor="text1"/>
          <w:sz w:val="24"/>
          <w:szCs w:val="24"/>
          <w:vertAlign w:val="superscript"/>
        </w:rPr>
        <w:t>,</w:t>
      </w:r>
      <w:r w:rsidRPr="007735EB">
        <w:rPr>
          <w:rFonts w:ascii="Times New Roman" w:eastAsia="Times New Roman" w:hAnsi="Times New Roman" w:cs="Times New Roman"/>
          <w:color w:val="000000" w:themeColor="text1"/>
          <w:sz w:val="24"/>
          <w:szCs w:val="24"/>
          <w:vertAlign w:val="superscript"/>
        </w:rPr>
        <w:footnoteReference w:id="49"/>
      </w:r>
      <w:r w:rsidRPr="007735EB">
        <w:rPr>
          <w:rFonts w:ascii="Times New Roman" w:eastAsia="Times New Roman" w:hAnsi="Times New Roman" w:cs="Times New Roman"/>
          <w:color w:val="000000" w:themeColor="text1"/>
          <w:sz w:val="24"/>
          <w:szCs w:val="24"/>
        </w:rPr>
        <w:t>;</w:t>
      </w:r>
    </w:p>
    <w:p w14:paraId="5D8A2950" w14:textId="77777777" w:rsidR="00AB05AE" w:rsidRPr="007735EB" w:rsidRDefault="004B7ED8" w:rsidP="007735EB">
      <w:pP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3. Digitālo rīku un MI pielietojums datu analīzē. </w:t>
      </w:r>
      <w:r w:rsidRPr="007735EB">
        <w:rPr>
          <w:rFonts w:ascii="Times New Roman" w:eastAsia="Times New Roman" w:hAnsi="Times New Roman" w:cs="Times New Roman"/>
          <w:color w:val="000000" w:themeColor="text1"/>
          <w:sz w:val="24"/>
          <w:szCs w:val="24"/>
        </w:rPr>
        <w:t>Piemēram, Austrālijā un Jaunzēlandē PPP atgriezeniskās saites sistēmas tiek papildinātas ar automatizētiem datu analīzes rīkiem, kas ļauj analizēt izglītojamo uzvedību, iesaisti un apgūto rezultātu dinamiku</w:t>
      </w:r>
      <w:r w:rsidRPr="007735EB">
        <w:rPr>
          <w:rFonts w:ascii="Times New Roman" w:eastAsia="Times New Roman" w:hAnsi="Times New Roman" w:cs="Times New Roman"/>
          <w:color w:val="000000" w:themeColor="text1"/>
          <w:sz w:val="24"/>
          <w:szCs w:val="24"/>
          <w:vertAlign w:val="superscript"/>
        </w:rPr>
        <w:footnoteReference w:id="50"/>
      </w:r>
      <w:r w:rsidRPr="007735EB">
        <w:rPr>
          <w:rFonts w:ascii="Times New Roman" w:eastAsia="Times New Roman" w:hAnsi="Times New Roman" w:cs="Times New Roman"/>
          <w:color w:val="000000" w:themeColor="text1"/>
          <w:sz w:val="24"/>
          <w:szCs w:val="24"/>
          <w:vertAlign w:val="superscript"/>
        </w:rPr>
        <w:t>,</w:t>
      </w:r>
      <w:r w:rsidRPr="007735EB">
        <w:rPr>
          <w:rFonts w:ascii="Times New Roman" w:eastAsia="Times New Roman" w:hAnsi="Times New Roman" w:cs="Times New Roman"/>
          <w:color w:val="000000" w:themeColor="text1"/>
          <w:sz w:val="24"/>
          <w:szCs w:val="24"/>
          <w:vertAlign w:val="superscript"/>
        </w:rPr>
        <w:footnoteReference w:id="51"/>
      </w:r>
      <w:r w:rsidRPr="007735EB">
        <w:rPr>
          <w:rFonts w:ascii="Times New Roman" w:eastAsia="Times New Roman" w:hAnsi="Times New Roman" w:cs="Times New Roman"/>
          <w:color w:val="000000" w:themeColor="text1"/>
          <w:sz w:val="24"/>
          <w:szCs w:val="24"/>
        </w:rPr>
        <w:t>;</w:t>
      </w:r>
    </w:p>
    <w:p w14:paraId="5D8A2951" w14:textId="77777777" w:rsidR="00AB05AE" w:rsidRPr="007735EB" w:rsidRDefault="004B7ED8" w:rsidP="007735EB">
      <w:pPr>
        <w:spacing w:before="120" w:after="120"/>
        <w:jc w:val="both"/>
        <w:rPr>
          <w:rFonts w:ascii="Times New Roman" w:eastAsia="Times New Roman" w:hAnsi="Times New Roman" w:cs="Times New Roman"/>
          <w:color w:val="000000" w:themeColor="text1"/>
          <w:sz w:val="24"/>
          <w:szCs w:val="24"/>
        </w:rPr>
      </w:pPr>
      <w:r w:rsidRPr="007735EB">
        <w:rPr>
          <w:rFonts w:ascii="Times New Roman" w:eastAsia="Times New Roman" w:hAnsi="Times New Roman" w:cs="Times New Roman"/>
          <w:b/>
          <w:bCs/>
          <w:color w:val="000000" w:themeColor="text1"/>
          <w:sz w:val="24"/>
          <w:szCs w:val="24"/>
        </w:rPr>
        <w:t xml:space="preserve">4. Atgriezeniskās saites izmantošana sertifikācijas uzlabošanā un pārnesē. </w:t>
      </w:r>
      <w:r w:rsidRPr="007735EB">
        <w:rPr>
          <w:rFonts w:ascii="Times New Roman" w:eastAsia="Times New Roman" w:hAnsi="Times New Roman" w:cs="Times New Roman"/>
          <w:color w:val="000000" w:themeColor="text1"/>
          <w:sz w:val="24"/>
          <w:szCs w:val="24"/>
        </w:rPr>
        <w:t>PPP ietvaros atgriezeniskā saite tiek pielietota arī, lai uzlabotu PPP metadatus, aprakstu skaidrību un pārnesamību starp institūcijām</w:t>
      </w:r>
      <w:r w:rsidRPr="007735EB">
        <w:rPr>
          <w:rFonts w:ascii="Times New Roman" w:eastAsia="Times New Roman" w:hAnsi="Times New Roman" w:cs="Times New Roman"/>
          <w:color w:val="000000" w:themeColor="text1"/>
          <w:sz w:val="24"/>
          <w:szCs w:val="24"/>
          <w:vertAlign w:val="superscript"/>
        </w:rPr>
        <w:t>16,17</w:t>
      </w:r>
      <w:r w:rsidRPr="007735EB">
        <w:rPr>
          <w:rFonts w:ascii="Times New Roman" w:eastAsia="Times New Roman" w:hAnsi="Times New Roman" w:cs="Times New Roman"/>
          <w:color w:val="000000" w:themeColor="text1"/>
          <w:sz w:val="24"/>
          <w:szCs w:val="24"/>
        </w:rPr>
        <w:t>.</w:t>
      </w:r>
    </w:p>
    <w:p w14:paraId="5E37BAE6" w14:textId="77777777" w:rsidR="008B6225" w:rsidRDefault="008B6225">
      <w:pPr>
        <w:rPr>
          <w:rFonts w:ascii="Times New Roman" w:eastAsiaTheme="majorEastAsia" w:hAnsi="Times New Roman" w:cs="Times New Roman"/>
          <w:b/>
          <w:bCs/>
          <w:color w:val="000000" w:themeColor="text1"/>
          <w:sz w:val="28"/>
          <w:szCs w:val="28"/>
        </w:rPr>
      </w:pPr>
      <w:r>
        <w:rPr>
          <w:rFonts w:ascii="Times New Roman" w:hAnsi="Times New Roman" w:cs="Times New Roman"/>
          <w:b/>
          <w:bCs/>
          <w:color w:val="000000" w:themeColor="text1"/>
          <w:sz w:val="28"/>
          <w:szCs w:val="28"/>
        </w:rPr>
        <w:br w:type="page"/>
      </w:r>
    </w:p>
    <w:p w14:paraId="5D8A295C" w14:textId="0AF11823" w:rsidR="00AB05AE" w:rsidRPr="00703A0C" w:rsidRDefault="004B7ED8" w:rsidP="00703A0C">
      <w:pPr>
        <w:pStyle w:val="Heading1"/>
        <w:spacing w:before="480" w:after="120"/>
        <w:ind w:left="720"/>
        <w:rPr>
          <w:rFonts w:ascii="Times New Roman" w:hAnsi="Times New Roman" w:cs="Times New Roman"/>
          <w:b/>
          <w:bCs/>
          <w:color w:val="000000" w:themeColor="text1"/>
          <w:sz w:val="28"/>
          <w:szCs w:val="28"/>
        </w:rPr>
      </w:pPr>
      <w:bookmarkStart w:id="25" w:name="_Toc218505022"/>
      <w:r w:rsidRPr="00703A0C">
        <w:rPr>
          <w:rFonts w:ascii="Times New Roman" w:hAnsi="Times New Roman" w:cs="Times New Roman"/>
          <w:b/>
          <w:bCs/>
          <w:color w:val="000000" w:themeColor="text1"/>
          <w:sz w:val="28"/>
          <w:szCs w:val="28"/>
        </w:rPr>
        <w:lastRenderedPageBreak/>
        <w:t>Pielikum</w:t>
      </w:r>
      <w:r w:rsidR="00703A0C" w:rsidRPr="00703A0C">
        <w:rPr>
          <w:rFonts w:ascii="Times New Roman" w:hAnsi="Times New Roman" w:cs="Times New Roman"/>
          <w:b/>
          <w:bCs/>
          <w:color w:val="000000" w:themeColor="text1"/>
          <w:sz w:val="28"/>
          <w:szCs w:val="28"/>
        </w:rPr>
        <w:t>i</w:t>
      </w:r>
      <w:bookmarkEnd w:id="25"/>
    </w:p>
    <w:p w14:paraId="5D8A295D" w14:textId="2B5EC0D0" w:rsidR="00AB05AE" w:rsidRPr="00703A0C" w:rsidRDefault="00703A0C" w:rsidP="00703A0C">
      <w:pPr>
        <w:pStyle w:val="Heading2"/>
        <w:spacing w:before="120" w:after="120"/>
        <w:ind w:left="720"/>
        <w:rPr>
          <w:rFonts w:ascii="Times New Roman" w:hAnsi="Times New Roman" w:cs="Times New Roman"/>
          <w:b/>
          <w:bCs/>
          <w:color w:val="000000" w:themeColor="text1"/>
          <w:sz w:val="24"/>
          <w:szCs w:val="24"/>
        </w:rPr>
      </w:pPr>
      <w:bookmarkStart w:id="26" w:name="_Toc218505023"/>
      <w:r w:rsidRPr="00703A0C">
        <w:rPr>
          <w:rFonts w:ascii="Times New Roman" w:hAnsi="Times New Roman" w:cs="Times New Roman"/>
          <w:b/>
          <w:bCs/>
          <w:color w:val="000000" w:themeColor="text1"/>
          <w:sz w:val="24"/>
          <w:szCs w:val="24"/>
        </w:rPr>
        <w:t xml:space="preserve">Pielikums 1. </w:t>
      </w:r>
      <w:r w:rsidR="008B6225">
        <w:rPr>
          <w:rFonts w:ascii="Times New Roman" w:hAnsi="Times New Roman" w:cs="Times New Roman"/>
          <w:b/>
          <w:bCs/>
          <w:color w:val="000000" w:themeColor="text1"/>
          <w:sz w:val="24"/>
          <w:szCs w:val="24"/>
        </w:rPr>
        <w:t>PPP novērtējuma anketa</w:t>
      </w:r>
      <w:bookmarkEnd w:id="26"/>
    </w:p>
    <w:p w14:paraId="1B09EEA3" w14:textId="77777777" w:rsidR="008B6225" w:rsidRPr="008B6225" w:rsidRDefault="008B6225" w:rsidP="008B6225">
      <w:pPr>
        <w:tabs>
          <w:tab w:val="left" w:pos="3240"/>
        </w:tabs>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Kvalitātes nodrošināšana ir nepārtraukts process, kas ietver visus profesionālās pilnveides programmas posmus un iesaistītās puses. Mums ir svarīgs ikviena viedoklis, lai varētu pilnveidot programmas saturu un uzlabošanas pieeju. Šīs aptaujas mērķis ir iegūt godīgu un objektīvu atgriezenisko saiti par programmas norisi, lai uzlabotu tās kvalitāti un veidotu vēl labāku mācību pieredzi nākotnē. Aptaujas aizpildīšana ir nozīmīga programmas sastāvdaļa. Jūsu iesaiste palīdz mums veidot kvalitatīvu un profesionālu mācību vidi. Aizpildot anketu, lūdzam sniegt patiesas un pārdomātas atbildes, ievērojot akadēmiskās ētikas principus. Aptauja ir anonīma, un iegūtie dati tiks izmantoti tikai apkopotā veidā.</w:t>
      </w:r>
    </w:p>
    <w:p w14:paraId="671497F6" w14:textId="77777777" w:rsidR="008B6225" w:rsidRPr="008B6225" w:rsidRDefault="008B6225" w:rsidP="008B6225">
      <w:pPr>
        <w:tabs>
          <w:tab w:val="left" w:pos="3240"/>
        </w:tabs>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Paldies, …….</w:t>
      </w:r>
    </w:p>
    <w:p w14:paraId="1C16B3C7" w14:textId="77777777" w:rsidR="008B6225" w:rsidRPr="008B6225" w:rsidRDefault="008B6225" w:rsidP="008B6225">
      <w:pPr>
        <w:spacing w:after="0" w:line="240" w:lineRule="auto"/>
        <w:rPr>
          <w:rFonts w:ascii="Times New Roman" w:eastAsia="Times New Roman" w:hAnsi="Times New Roman" w:cs="Times New Roman"/>
          <w:color w:val="FF0000"/>
          <w:sz w:val="16"/>
          <w:szCs w:val="16"/>
          <w:lang w:eastAsia="lv-LV"/>
        </w:rPr>
      </w:pPr>
    </w:p>
    <w:tbl>
      <w:tblPr>
        <w:tblW w:w="5000" w:type="pct"/>
        <w:tblCellSpacing w:w="15" w:type="dxa"/>
        <w:tblInd w:w="-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5"/>
        <w:gridCol w:w="3172"/>
        <w:gridCol w:w="2686"/>
        <w:gridCol w:w="2567"/>
      </w:tblGrid>
      <w:tr w:rsidR="008B6225" w:rsidRPr="008B6225" w14:paraId="56ABA49E"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2DFB92FD" w14:textId="77777777" w:rsidR="008B6225" w:rsidRPr="008B6225" w:rsidRDefault="008B6225" w:rsidP="00A23C45">
            <w:pPr>
              <w:spacing w:after="0" w:line="240" w:lineRule="auto"/>
              <w:jc w:val="center"/>
              <w:rPr>
                <w:rFonts w:ascii="Times New Roman" w:eastAsia="Times New Roman" w:hAnsi="Times New Roman" w:cs="Times New Roman"/>
                <w:b/>
                <w:bCs/>
                <w:sz w:val="18"/>
                <w:szCs w:val="18"/>
                <w:lang w:eastAsia="lv-LV"/>
              </w:rPr>
            </w:pPr>
            <w:r w:rsidRPr="008B6225">
              <w:rPr>
                <w:rFonts w:ascii="Times New Roman" w:eastAsia="Times New Roman" w:hAnsi="Times New Roman" w:cs="Times New Roman"/>
                <w:b/>
                <w:bCs/>
                <w:sz w:val="18"/>
                <w:szCs w:val="18"/>
                <w:lang w:eastAsia="lv-LV"/>
              </w:rPr>
              <w:t>Nr.</w:t>
            </w:r>
          </w:p>
          <w:p w14:paraId="2742C882" w14:textId="77777777" w:rsidR="008B6225" w:rsidRPr="008B6225" w:rsidRDefault="008B6225" w:rsidP="00A23C45">
            <w:pPr>
              <w:spacing w:after="0" w:line="240" w:lineRule="auto"/>
              <w:jc w:val="center"/>
              <w:rPr>
                <w:rFonts w:ascii="Times New Roman" w:eastAsia="Times New Roman" w:hAnsi="Times New Roman" w:cs="Times New Roman"/>
                <w:b/>
                <w:bCs/>
                <w:sz w:val="18"/>
                <w:szCs w:val="18"/>
                <w:lang w:eastAsia="lv-LV"/>
              </w:rPr>
            </w:pPr>
            <w:r w:rsidRPr="008B6225">
              <w:rPr>
                <w:rFonts w:ascii="Times New Roman" w:eastAsia="Times New Roman" w:hAnsi="Times New Roman" w:cs="Times New Roman"/>
                <w:b/>
                <w:bCs/>
                <w:sz w:val="18"/>
                <w:szCs w:val="18"/>
                <w:lang w:eastAsia="lv-LV"/>
              </w:rPr>
              <w:t>p.k.</w:t>
            </w:r>
          </w:p>
        </w:tc>
        <w:tc>
          <w:tcPr>
            <w:tcW w:w="1766" w:type="pct"/>
            <w:tcBorders>
              <w:top w:val="outset" w:sz="6" w:space="0" w:color="auto"/>
              <w:left w:val="outset" w:sz="6" w:space="0" w:color="auto"/>
              <w:bottom w:val="outset" w:sz="6" w:space="0" w:color="auto"/>
              <w:right w:val="outset" w:sz="6" w:space="0" w:color="auto"/>
            </w:tcBorders>
            <w:vAlign w:val="center"/>
          </w:tcPr>
          <w:p w14:paraId="4812D979" w14:textId="77777777" w:rsidR="008B6225" w:rsidRPr="008B6225" w:rsidRDefault="008B6225" w:rsidP="00A23C45">
            <w:pPr>
              <w:spacing w:after="0" w:line="240" w:lineRule="auto"/>
              <w:rPr>
                <w:rFonts w:ascii="Times New Roman" w:eastAsia="Times New Roman" w:hAnsi="Times New Roman" w:cs="Times New Roman"/>
                <w:b/>
                <w:bCs/>
                <w:i/>
                <w:iCs/>
                <w:sz w:val="18"/>
                <w:szCs w:val="18"/>
                <w:lang w:eastAsia="lv-LV"/>
              </w:rPr>
            </w:pPr>
            <w:r w:rsidRPr="008B6225">
              <w:rPr>
                <w:rFonts w:ascii="Times New Roman" w:eastAsia="Times New Roman" w:hAnsi="Times New Roman" w:cs="Times New Roman"/>
                <w:b/>
                <w:bCs/>
                <w:sz w:val="18"/>
                <w:szCs w:val="18"/>
                <w:lang w:eastAsia="lv-LV"/>
              </w:rPr>
              <w:t>Profesionālās pilnveides programmas (turpmāk – programma) novērtējuma anketa</w:t>
            </w:r>
          </w:p>
        </w:tc>
        <w:tc>
          <w:tcPr>
            <w:tcW w:w="1492" w:type="pct"/>
            <w:tcBorders>
              <w:top w:val="outset" w:sz="6" w:space="0" w:color="auto"/>
              <w:left w:val="outset" w:sz="6" w:space="0" w:color="auto"/>
              <w:bottom w:val="outset" w:sz="6" w:space="0" w:color="auto"/>
              <w:right w:val="outset" w:sz="6" w:space="0" w:color="auto"/>
            </w:tcBorders>
            <w:vAlign w:val="center"/>
          </w:tcPr>
          <w:p w14:paraId="162DE448"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b/>
                <w:bCs/>
                <w:sz w:val="18"/>
                <w:szCs w:val="18"/>
                <w:lang w:eastAsia="lv-LV"/>
              </w:rPr>
              <w:t>Atbilžu varianti/atbildes veids</w:t>
            </w:r>
          </w:p>
        </w:tc>
        <w:tc>
          <w:tcPr>
            <w:tcW w:w="1417" w:type="pct"/>
            <w:tcBorders>
              <w:top w:val="outset" w:sz="6" w:space="0" w:color="auto"/>
              <w:left w:val="outset" w:sz="6" w:space="0" w:color="auto"/>
              <w:bottom w:val="outset" w:sz="6" w:space="0" w:color="auto"/>
              <w:right w:val="outset" w:sz="6" w:space="0" w:color="auto"/>
            </w:tcBorders>
            <w:vAlign w:val="center"/>
          </w:tcPr>
          <w:p w14:paraId="799B5227"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b/>
                <w:bCs/>
                <w:color w:val="7030A0"/>
                <w:sz w:val="18"/>
                <w:szCs w:val="18"/>
                <w:lang w:eastAsia="lv-LV"/>
              </w:rPr>
              <w:t>Piezīmes</w:t>
            </w:r>
          </w:p>
        </w:tc>
      </w:tr>
      <w:tr w:rsidR="008B6225" w:rsidRPr="008B6225" w14:paraId="61714B76" w14:textId="77777777" w:rsidTr="00A23C45">
        <w:trPr>
          <w:trHeight w:val="388"/>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11D72462" w14:textId="77777777" w:rsidR="008B6225" w:rsidRPr="008B6225" w:rsidRDefault="008B6225" w:rsidP="00A23C45">
            <w:pPr>
              <w:spacing w:after="0" w:line="240" w:lineRule="auto"/>
              <w:jc w:val="center"/>
              <w:rPr>
                <w:rFonts w:ascii="Times New Roman" w:eastAsia="Times New Roman" w:hAnsi="Times New Roman" w:cs="Times New Roman"/>
                <w:i/>
                <w:iCs/>
                <w:sz w:val="18"/>
                <w:szCs w:val="18"/>
                <w:lang w:eastAsia="lv-LV"/>
              </w:rPr>
            </w:pPr>
            <w:r w:rsidRPr="008B6225">
              <w:rPr>
                <w:rFonts w:ascii="Times New Roman" w:eastAsia="Times New Roman" w:hAnsi="Times New Roman" w:cs="Times New Roman"/>
                <w:i/>
                <w:iCs/>
                <w:sz w:val="18"/>
                <w:szCs w:val="18"/>
                <w:lang w:eastAsia="lv-LV"/>
              </w:rPr>
              <w:t>1.</w:t>
            </w:r>
          </w:p>
        </w:tc>
        <w:tc>
          <w:tcPr>
            <w:tcW w:w="1766" w:type="pct"/>
            <w:tcBorders>
              <w:top w:val="outset" w:sz="6" w:space="0" w:color="auto"/>
              <w:left w:val="outset" w:sz="6" w:space="0" w:color="auto"/>
              <w:bottom w:val="outset" w:sz="6" w:space="0" w:color="auto"/>
              <w:right w:val="outset" w:sz="6" w:space="0" w:color="auto"/>
            </w:tcBorders>
            <w:vAlign w:val="center"/>
          </w:tcPr>
          <w:p w14:paraId="059B750F" w14:textId="77777777" w:rsidR="008B6225" w:rsidRPr="008B6225" w:rsidRDefault="008B6225" w:rsidP="00A23C45">
            <w:pPr>
              <w:spacing w:after="0" w:line="240" w:lineRule="auto"/>
              <w:jc w:val="both"/>
              <w:rPr>
                <w:rFonts w:ascii="Times New Roman" w:eastAsia="Times New Roman" w:hAnsi="Times New Roman" w:cs="Times New Roman"/>
                <w:i/>
                <w:iCs/>
                <w:sz w:val="18"/>
                <w:szCs w:val="18"/>
                <w:lang w:eastAsia="lv-LV"/>
              </w:rPr>
            </w:pPr>
          </w:p>
          <w:p w14:paraId="37E66F6E"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Programmas apraksts un tajā minētie sasniedzamie rezultāti (kompetences, zināšanas, prasmes) man bija saprotami.</w:t>
            </w:r>
          </w:p>
          <w:p w14:paraId="1E4DA488" w14:textId="77777777" w:rsidR="008B6225" w:rsidRPr="008B6225" w:rsidRDefault="008B6225" w:rsidP="00A23C45">
            <w:pPr>
              <w:spacing w:after="0" w:line="240" w:lineRule="auto"/>
              <w:jc w:val="both"/>
              <w:rPr>
                <w:rFonts w:ascii="Times New Roman" w:eastAsia="Times New Roman" w:hAnsi="Times New Roman" w:cs="Times New Roman"/>
                <w:i/>
                <w:iCs/>
                <w:sz w:val="18"/>
                <w:szCs w:val="18"/>
                <w:lang w:eastAsia="lv-LV"/>
              </w:rPr>
            </w:pPr>
          </w:p>
        </w:tc>
        <w:tc>
          <w:tcPr>
            <w:tcW w:w="1492" w:type="pct"/>
            <w:tcBorders>
              <w:top w:val="outset" w:sz="6" w:space="0" w:color="auto"/>
              <w:left w:val="outset" w:sz="6" w:space="0" w:color="auto"/>
              <w:bottom w:val="outset" w:sz="6" w:space="0" w:color="auto"/>
              <w:right w:val="outset" w:sz="6" w:space="0" w:color="auto"/>
            </w:tcBorders>
            <w:vAlign w:val="center"/>
          </w:tcPr>
          <w:p w14:paraId="23ADB985"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Pilnībā nepiekrītu (1); Drīzāk nepiekrītu (2);</w:t>
            </w:r>
          </w:p>
          <w:p w14:paraId="5AB2DB10"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Ne piekrītu, ne nepiekrītu (3); </w:t>
            </w:r>
          </w:p>
          <w:p w14:paraId="1A8AD40D"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Drīzāk piekrītu (4); Pilnībā piekrītu (5)</w:t>
            </w:r>
          </w:p>
        </w:tc>
        <w:tc>
          <w:tcPr>
            <w:tcW w:w="1417" w:type="pct"/>
            <w:tcBorders>
              <w:top w:val="outset" w:sz="6" w:space="0" w:color="auto"/>
              <w:left w:val="outset" w:sz="6" w:space="0" w:color="auto"/>
              <w:bottom w:val="outset" w:sz="6" w:space="0" w:color="auto"/>
              <w:right w:val="outset" w:sz="6" w:space="0" w:color="auto"/>
            </w:tcBorders>
            <w:vAlign w:val="center"/>
          </w:tcPr>
          <w:p w14:paraId="5AF5A507"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(1) un (2) – papildu jautājums, ar paskaidrojumu/komentāru;</w:t>
            </w:r>
          </w:p>
          <w:p w14:paraId="1CC8E120"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(3), (4) un (5) – nākamais jautājums, izlaižot papildu jautājumu</w:t>
            </w:r>
          </w:p>
        </w:tc>
      </w:tr>
      <w:tr w:rsidR="008B6225" w:rsidRPr="008B6225" w14:paraId="31D6E673"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5268C89B" w14:textId="77777777" w:rsidR="008B6225" w:rsidRPr="008B6225" w:rsidRDefault="008B6225" w:rsidP="00A23C45">
            <w:pPr>
              <w:spacing w:after="0" w:line="240" w:lineRule="auto"/>
              <w:jc w:val="center"/>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(1a)</w:t>
            </w:r>
          </w:p>
        </w:tc>
        <w:tc>
          <w:tcPr>
            <w:tcW w:w="1766" w:type="pct"/>
            <w:tcBorders>
              <w:top w:val="outset" w:sz="6" w:space="0" w:color="auto"/>
              <w:left w:val="outset" w:sz="6" w:space="0" w:color="auto"/>
              <w:bottom w:val="outset" w:sz="6" w:space="0" w:color="auto"/>
              <w:right w:val="outset" w:sz="6" w:space="0" w:color="auto"/>
            </w:tcBorders>
            <w:vAlign w:val="center"/>
          </w:tcPr>
          <w:p w14:paraId="18E4BAE0"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Papildu jautājums pēc (1) un (2):</w:t>
            </w:r>
          </w:p>
          <w:p w14:paraId="19E1F1AD"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Lūdzu, sniedz papildu informāciju vai pamatojumu savam iepriekš izteiktajam apgalvojumam!</w:t>
            </w:r>
          </w:p>
        </w:tc>
        <w:tc>
          <w:tcPr>
            <w:tcW w:w="1492" w:type="pct"/>
            <w:tcBorders>
              <w:top w:val="outset" w:sz="6" w:space="0" w:color="auto"/>
              <w:left w:val="outset" w:sz="6" w:space="0" w:color="auto"/>
              <w:bottom w:val="outset" w:sz="6" w:space="0" w:color="auto"/>
              <w:right w:val="outset" w:sz="6" w:space="0" w:color="auto"/>
            </w:tcBorders>
            <w:vAlign w:val="center"/>
          </w:tcPr>
          <w:p w14:paraId="0C014C92" w14:textId="77777777" w:rsidR="008B6225" w:rsidRPr="008B6225" w:rsidRDefault="008B6225" w:rsidP="00A23C45">
            <w:pPr>
              <w:spacing w:after="0" w:line="240" w:lineRule="auto"/>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28E344E6" w14:textId="77777777" w:rsidR="008B6225" w:rsidRPr="008B6225" w:rsidRDefault="008B6225" w:rsidP="00A23C45">
            <w:pPr>
              <w:spacing w:after="0" w:line="240" w:lineRule="auto"/>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Secība turpinās</w:t>
            </w:r>
          </w:p>
        </w:tc>
      </w:tr>
      <w:tr w:rsidR="008B6225" w:rsidRPr="008B6225" w14:paraId="6E59F046"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1C539AC7"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2.</w:t>
            </w:r>
          </w:p>
        </w:tc>
        <w:tc>
          <w:tcPr>
            <w:tcW w:w="1766" w:type="pct"/>
            <w:tcBorders>
              <w:top w:val="outset" w:sz="6" w:space="0" w:color="auto"/>
              <w:left w:val="outset" w:sz="6" w:space="0" w:color="auto"/>
              <w:bottom w:val="outset" w:sz="6" w:space="0" w:color="auto"/>
              <w:right w:val="outset" w:sz="6" w:space="0" w:color="auto"/>
            </w:tcBorders>
            <w:vAlign w:val="center"/>
          </w:tcPr>
          <w:p w14:paraId="4E658555" w14:textId="77777777" w:rsidR="008B6225" w:rsidRPr="008B6225" w:rsidRDefault="008B6225" w:rsidP="00A23C45">
            <w:pPr>
              <w:spacing w:after="0" w:line="240" w:lineRule="auto"/>
              <w:jc w:val="both"/>
              <w:rPr>
                <w:rFonts w:ascii="Times New Roman" w:eastAsia="Times New Roman" w:hAnsi="Times New Roman" w:cs="Times New Roman"/>
                <w:i/>
                <w:iCs/>
                <w:sz w:val="18"/>
                <w:szCs w:val="18"/>
                <w:lang w:eastAsia="lv-LV"/>
              </w:rPr>
            </w:pPr>
            <w:r w:rsidRPr="008B6225">
              <w:rPr>
                <w:rFonts w:ascii="Times New Roman" w:eastAsia="Times New Roman" w:hAnsi="Times New Roman" w:cs="Times New Roman"/>
                <w:sz w:val="18"/>
                <w:szCs w:val="18"/>
                <w:lang w:eastAsia="lv-LV"/>
              </w:rPr>
              <w:t>Man bija saprotami docētāja (-u)  izskaidrotie sasniedzamo studiju rezultātu vērtēšanas kritēriji</w:t>
            </w:r>
            <w:r w:rsidRPr="008B6225">
              <w:rPr>
                <w:rFonts w:ascii="Times New Roman" w:eastAsia="Times New Roman" w:hAnsi="Times New Roman" w:cs="Times New Roman"/>
                <w:i/>
                <w:iCs/>
                <w:sz w:val="18"/>
                <w:szCs w:val="18"/>
                <w:lang w:eastAsia="lv-LV"/>
              </w:rPr>
              <w:t>.</w:t>
            </w:r>
          </w:p>
        </w:tc>
        <w:tc>
          <w:tcPr>
            <w:tcW w:w="1492" w:type="pct"/>
            <w:tcBorders>
              <w:top w:val="outset" w:sz="6" w:space="0" w:color="auto"/>
              <w:left w:val="outset" w:sz="6" w:space="0" w:color="auto"/>
              <w:bottom w:val="outset" w:sz="6" w:space="0" w:color="auto"/>
              <w:right w:val="outset" w:sz="6" w:space="0" w:color="auto"/>
            </w:tcBorders>
            <w:vAlign w:val="center"/>
          </w:tcPr>
          <w:p w14:paraId="27B8DAD5"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Pilnībā nepiekrītu (1); Drīzāk nepiekrītu (2);</w:t>
            </w:r>
          </w:p>
          <w:p w14:paraId="79AFE5C2"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Ne piekrītu, ne nepiekrītu (3); </w:t>
            </w:r>
          </w:p>
          <w:p w14:paraId="6C0E2F25"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Drīzāk piekrītu (4); Pilnībā piekrītu (5)</w:t>
            </w:r>
          </w:p>
        </w:tc>
        <w:tc>
          <w:tcPr>
            <w:tcW w:w="1417" w:type="pct"/>
            <w:tcBorders>
              <w:top w:val="outset" w:sz="6" w:space="0" w:color="auto"/>
              <w:left w:val="outset" w:sz="6" w:space="0" w:color="auto"/>
              <w:bottom w:val="outset" w:sz="6" w:space="0" w:color="auto"/>
              <w:right w:val="outset" w:sz="6" w:space="0" w:color="auto"/>
            </w:tcBorders>
            <w:vAlign w:val="center"/>
          </w:tcPr>
          <w:p w14:paraId="77339F64"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(1) un (2) – papildu jautājums, ar paskaidrojumu/komentāru;</w:t>
            </w:r>
          </w:p>
          <w:p w14:paraId="1276B066"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(3), (4) un (5) – nākamais jautājums, izlaižot papildu jautājumu</w:t>
            </w:r>
          </w:p>
        </w:tc>
      </w:tr>
      <w:tr w:rsidR="008B6225" w:rsidRPr="008B6225" w14:paraId="4F7F2940"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0B63A89E" w14:textId="77777777" w:rsidR="008B6225" w:rsidRPr="008B6225" w:rsidRDefault="008B6225" w:rsidP="00A23C45">
            <w:pPr>
              <w:spacing w:after="0" w:line="240" w:lineRule="auto"/>
              <w:jc w:val="center"/>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(2a)</w:t>
            </w:r>
          </w:p>
        </w:tc>
        <w:tc>
          <w:tcPr>
            <w:tcW w:w="1766" w:type="pct"/>
            <w:tcBorders>
              <w:top w:val="outset" w:sz="6" w:space="0" w:color="auto"/>
              <w:left w:val="outset" w:sz="6" w:space="0" w:color="auto"/>
              <w:bottom w:val="outset" w:sz="6" w:space="0" w:color="auto"/>
              <w:right w:val="outset" w:sz="6" w:space="0" w:color="auto"/>
            </w:tcBorders>
            <w:vAlign w:val="center"/>
          </w:tcPr>
          <w:p w14:paraId="09485A31"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Papildu jautājums pēc (1) un (2):</w:t>
            </w:r>
          </w:p>
          <w:p w14:paraId="37B8C465"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Lūdzu, sniedz papildu informāciju vai pamatojumu savam iepriekš izteiktajam apgalvojumam!</w:t>
            </w:r>
          </w:p>
        </w:tc>
        <w:tc>
          <w:tcPr>
            <w:tcW w:w="1492" w:type="pct"/>
            <w:tcBorders>
              <w:top w:val="outset" w:sz="6" w:space="0" w:color="auto"/>
              <w:left w:val="outset" w:sz="6" w:space="0" w:color="auto"/>
              <w:bottom w:val="outset" w:sz="6" w:space="0" w:color="auto"/>
              <w:right w:val="outset" w:sz="6" w:space="0" w:color="auto"/>
            </w:tcBorders>
            <w:vAlign w:val="center"/>
          </w:tcPr>
          <w:p w14:paraId="4653322E" w14:textId="77777777" w:rsidR="008B6225" w:rsidRPr="008B6225" w:rsidRDefault="008B6225" w:rsidP="00A23C45">
            <w:pPr>
              <w:spacing w:after="0" w:line="240" w:lineRule="auto"/>
              <w:rPr>
                <w:rFonts w:ascii="Times New Roman" w:eastAsia="Times New Roman" w:hAnsi="Times New Roman" w:cs="Times New Roman"/>
                <w:i/>
                <w:iCs/>
                <w:strike/>
                <w:color w:val="7030A0"/>
                <w:sz w:val="18"/>
                <w:szCs w:val="18"/>
                <w:lang w:eastAsia="lv-LV"/>
              </w:rPr>
            </w:pPr>
            <w:r w:rsidRPr="008B6225">
              <w:rPr>
                <w:rFonts w:ascii="Times New Roman" w:eastAsia="Times New Roman" w:hAnsi="Times New Roman" w:cs="Times New Roman"/>
                <w:i/>
                <w:iCs/>
                <w:color w:val="7030A0"/>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00B8E03D" w14:textId="77777777" w:rsidR="008B6225" w:rsidRPr="008B6225" w:rsidRDefault="008B6225" w:rsidP="00A23C45">
            <w:pPr>
              <w:spacing w:after="0" w:line="240" w:lineRule="auto"/>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Secība turpinās</w:t>
            </w:r>
          </w:p>
        </w:tc>
      </w:tr>
      <w:tr w:rsidR="008B6225" w:rsidRPr="008B6225" w14:paraId="2263C863"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5C5E52B8"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3.</w:t>
            </w:r>
          </w:p>
        </w:tc>
        <w:tc>
          <w:tcPr>
            <w:tcW w:w="1766" w:type="pct"/>
            <w:tcBorders>
              <w:top w:val="outset" w:sz="6" w:space="0" w:color="auto"/>
              <w:left w:val="outset" w:sz="6" w:space="0" w:color="auto"/>
              <w:bottom w:val="outset" w:sz="6" w:space="0" w:color="auto"/>
              <w:right w:val="outset" w:sz="6" w:space="0" w:color="auto"/>
            </w:tcBorders>
            <w:vAlign w:val="center"/>
            <w:hideMark/>
          </w:tcPr>
          <w:p w14:paraId="29983350"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Mācību laikā izmantotās mācību metodes (t.sk. tiešsaistē) sekmēja diskusijas, iesaisti un veicināja kursa apguvi.</w:t>
            </w:r>
          </w:p>
        </w:tc>
        <w:tc>
          <w:tcPr>
            <w:tcW w:w="1492" w:type="pct"/>
            <w:tcBorders>
              <w:top w:val="outset" w:sz="6" w:space="0" w:color="auto"/>
              <w:left w:val="outset" w:sz="6" w:space="0" w:color="auto"/>
              <w:bottom w:val="outset" w:sz="6" w:space="0" w:color="auto"/>
              <w:right w:val="outset" w:sz="6" w:space="0" w:color="auto"/>
            </w:tcBorders>
            <w:vAlign w:val="center"/>
          </w:tcPr>
          <w:p w14:paraId="4EF54F11"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Pilnībā nepiekrītu (1); Drīzāk nepiekrītu (2);</w:t>
            </w:r>
          </w:p>
          <w:p w14:paraId="33E71233"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Ne piekrītu, ne nepiekrītu (3); </w:t>
            </w:r>
          </w:p>
          <w:p w14:paraId="42B1EBE5"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Drīzāk piekrītu (4); Pilnībā piekrītu (5)</w:t>
            </w:r>
          </w:p>
        </w:tc>
        <w:tc>
          <w:tcPr>
            <w:tcW w:w="1417" w:type="pct"/>
            <w:tcBorders>
              <w:top w:val="outset" w:sz="6" w:space="0" w:color="auto"/>
              <w:left w:val="outset" w:sz="6" w:space="0" w:color="auto"/>
              <w:bottom w:val="outset" w:sz="6" w:space="0" w:color="auto"/>
              <w:right w:val="outset" w:sz="6" w:space="0" w:color="auto"/>
            </w:tcBorders>
            <w:vAlign w:val="center"/>
          </w:tcPr>
          <w:p w14:paraId="3EB380F7"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(1) un (2) – papildu jautājums, ar paskaidrojumu/komentāru;</w:t>
            </w:r>
          </w:p>
          <w:p w14:paraId="0767563B"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(3), (4) un (5) – nākamais jautājums, izlaižot papildu jautājumu</w:t>
            </w:r>
          </w:p>
        </w:tc>
      </w:tr>
      <w:tr w:rsidR="008B6225" w:rsidRPr="008B6225" w14:paraId="38911FCF"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690B4538" w14:textId="77777777" w:rsidR="008B6225" w:rsidRPr="008B6225" w:rsidRDefault="008B6225" w:rsidP="00A23C45">
            <w:pPr>
              <w:spacing w:after="0" w:line="240" w:lineRule="auto"/>
              <w:jc w:val="center"/>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(3a)</w:t>
            </w:r>
          </w:p>
        </w:tc>
        <w:tc>
          <w:tcPr>
            <w:tcW w:w="1766" w:type="pct"/>
            <w:tcBorders>
              <w:top w:val="outset" w:sz="6" w:space="0" w:color="auto"/>
              <w:left w:val="outset" w:sz="6" w:space="0" w:color="auto"/>
              <w:bottom w:val="outset" w:sz="6" w:space="0" w:color="auto"/>
              <w:right w:val="outset" w:sz="6" w:space="0" w:color="auto"/>
            </w:tcBorders>
            <w:vAlign w:val="center"/>
          </w:tcPr>
          <w:p w14:paraId="706B6B94"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Papildu jautājums pēc (1) un (2):</w:t>
            </w:r>
          </w:p>
          <w:p w14:paraId="640AFEBB"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Lūdzu, sniedz papildu informāciju vai pamatojumu savam iepriekš izteiktajam apgalvojumam!</w:t>
            </w:r>
          </w:p>
        </w:tc>
        <w:tc>
          <w:tcPr>
            <w:tcW w:w="1492" w:type="pct"/>
            <w:tcBorders>
              <w:top w:val="outset" w:sz="6" w:space="0" w:color="auto"/>
              <w:left w:val="outset" w:sz="6" w:space="0" w:color="auto"/>
              <w:bottom w:val="outset" w:sz="6" w:space="0" w:color="auto"/>
              <w:right w:val="outset" w:sz="6" w:space="0" w:color="auto"/>
            </w:tcBorders>
            <w:vAlign w:val="center"/>
          </w:tcPr>
          <w:p w14:paraId="14DB306A"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37DD1C3D"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i/>
                <w:iCs/>
                <w:color w:val="7030A0"/>
                <w:sz w:val="18"/>
                <w:szCs w:val="18"/>
                <w:lang w:eastAsia="lv-LV"/>
              </w:rPr>
              <w:t>Secība turpinās</w:t>
            </w:r>
          </w:p>
        </w:tc>
      </w:tr>
      <w:tr w:rsidR="008B6225" w:rsidRPr="008B6225" w14:paraId="01FBCD93"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327E2543"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4.</w:t>
            </w:r>
          </w:p>
        </w:tc>
        <w:tc>
          <w:tcPr>
            <w:tcW w:w="1766" w:type="pct"/>
            <w:tcBorders>
              <w:top w:val="outset" w:sz="6" w:space="0" w:color="auto"/>
              <w:left w:val="outset" w:sz="6" w:space="0" w:color="auto"/>
              <w:bottom w:val="outset" w:sz="6" w:space="0" w:color="auto"/>
              <w:right w:val="outset" w:sz="6" w:space="0" w:color="auto"/>
            </w:tcBorders>
            <w:vAlign w:val="center"/>
            <w:hideMark/>
          </w:tcPr>
          <w:p w14:paraId="2C6845BF"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Mācību laikā bija pieejama nepieciešamā mācību literatūra, elektroniskie resursi, u.c. materiāli. </w:t>
            </w:r>
          </w:p>
        </w:tc>
        <w:tc>
          <w:tcPr>
            <w:tcW w:w="1492" w:type="pct"/>
            <w:tcBorders>
              <w:top w:val="outset" w:sz="6" w:space="0" w:color="auto"/>
              <w:left w:val="outset" w:sz="6" w:space="0" w:color="auto"/>
              <w:bottom w:val="outset" w:sz="6" w:space="0" w:color="auto"/>
              <w:right w:val="outset" w:sz="6" w:space="0" w:color="auto"/>
            </w:tcBorders>
            <w:vAlign w:val="center"/>
          </w:tcPr>
          <w:p w14:paraId="37487206"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Pilnībā nepiekrītu (1); Drīzāk nepiekrītu (2);</w:t>
            </w:r>
          </w:p>
          <w:p w14:paraId="714B2E83"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Ne piekrītu, ne nepiekrītu (3); </w:t>
            </w:r>
          </w:p>
          <w:p w14:paraId="6C444BBA"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Drīzāk piekrītu (4); Pilnībā piekrītu (5)</w:t>
            </w:r>
          </w:p>
        </w:tc>
        <w:tc>
          <w:tcPr>
            <w:tcW w:w="1417" w:type="pct"/>
            <w:tcBorders>
              <w:top w:val="outset" w:sz="6" w:space="0" w:color="auto"/>
              <w:left w:val="outset" w:sz="6" w:space="0" w:color="auto"/>
              <w:bottom w:val="outset" w:sz="6" w:space="0" w:color="auto"/>
              <w:right w:val="outset" w:sz="6" w:space="0" w:color="auto"/>
            </w:tcBorders>
            <w:vAlign w:val="center"/>
          </w:tcPr>
          <w:p w14:paraId="131A0D64"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(1) un (2) – papildu jautājums, ar paskaidrojumu/komentāru;</w:t>
            </w:r>
          </w:p>
          <w:p w14:paraId="698081AE"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(3), (4) un (5) – nākamais jautājums, izlaižot papildu jautājumu</w:t>
            </w:r>
          </w:p>
        </w:tc>
      </w:tr>
      <w:tr w:rsidR="008B6225" w:rsidRPr="008B6225" w14:paraId="53A8C906"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340A4051" w14:textId="77777777" w:rsidR="008B6225" w:rsidRPr="008B6225" w:rsidRDefault="008B6225" w:rsidP="00A23C45">
            <w:pPr>
              <w:spacing w:after="0" w:line="240" w:lineRule="auto"/>
              <w:jc w:val="center"/>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(4a)</w:t>
            </w:r>
          </w:p>
        </w:tc>
        <w:tc>
          <w:tcPr>
            <w:tcW w:w="1766" w:type="pct"/>
            <w:tcBorders>
              <w:top w:val="outset" w:sz="6" w:space="0" w:color="auto"/>
              <w:left w:val="outset" w:sz="6" w:space="0" w:color="auto"/>
              <w:bottom w:val="outset" w:sz="6" w:space="0" w:color="auto"/>
              <w:right w:val="outset" w:sz="6" w:space="0" w:color="auto"/>
            </w:tcBorders>
            <w:vAlign w:val="center"/>
          </w:tcPr>
          <w:p w14:paraId="08523AF3"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Papildu jautājums pēc (1) un (2):</w:t>
            </w:r>
          </w:p>
          <w:p w14:paraId="55AC2663"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Lūdzu, sniedz papildu informāciju vai pamatojumu savam iepriekš izteiktajam apgalvojumam!</w:t>
            </w:r>
          </w:p>
        </w:tc>
        <w:tc>
          <w:tcPr>
            <w:tcW w:w="1492" w:type="pct"/>
            <w:tcBorders>
              <w:top w:val="outset" w:sz="6" w:space="0" w:color="auto"/>
              <w:left w:val="outset" w:sz="6" w:space="0" w:color="auto"/>
              <w:bottom w:val="outset" w:sz="6" w:space="0" w:color="auto"/>
              <w:right w:val="outset" w:sz="6" w:space="0" w:color="auto"/>
            </w:tcBorders>
            <w:vAlign w:val="center"/>
          </w:tcPr>
          <w:p w14:paraId="484980F3"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46E4D413"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i/>
                <w:iCs/>
                <w:color w:val="7030A0"/>
                <w:sz w:val="18"/>
                <w:szCs w:val="18"/>
                <w:lang w:eastAsia="lv-LV"/>
              </w:rPr>
              <w:t>Secība turpinās</w:t>
            </w:r>
          </w:p>
        </w:tc>
      </w:tr>
      <w:tr w:rsidR="008B6225" w:rsidRPr="008B6225" w14:paraId="2B3B58CB"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0D34C925"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5.</w:t>
            </w:r>
          </w:p>
        </w:tc>
        <w:tc>
          <w:tcPr>
            <w:tcW w:w="1766" w:type="pct"/>
            <w:tcBorders>
              <w:top w:val="outset" w:sz="6" w:space="0" w:color="auto"/>
              <w:left w:val="outset" w:sz="6" w:space="0" w:color="auto"/>
              <w:bottom w:val="outset" w:sz="6" w:space="0" w:color="auto"/>
              <w:right w:val="outset" w:sz="6" w:space="0" w:color="auto"/>
            </w:tcBorders>
            <w:vAlign w:val="center"/>
          </w:tcPr>
          <w:p w14:paraId="3D153B60"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Komunikācija par mācību procesa organizāciju un objektīvām izmaiņām bija savlaicīga.</w:t>
            </w:r>
          </w:p>
        </w:tc>
        <w:tc>
          <w:tcPr>
            <w:tcW w:w="1492" w:type="pct"/>
            <w:tcBorders>
              <w:top w:val="outset" w:sz="6" w:space="0" w:color="auto"/>
              <w:left w:val="outset" w:sz="6" w:space="0" w:color="auto"/>
              <w:bottom w:val="outset" w:sz="6" w:space="0" w:color="auto"/>
              <w:right w:val="outset" w:sz="6" w:space="0" w:color="auto"/>
            </w:tcBorders>
            <w:vAlign w:val="center"/>
          </w:tcPr>
          <w:p w14:paraId="7293AEC9"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Pilnībā nepiekrītu (1); Drīzāk nepiekrītu (2);</w:t>
            </w:r>
          </w:p>
          <w:p w14:paraId="26A537DA"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Ne piekrītu, ne nepiekrītu (3); </w:t>
            </w:r>
          </w:p>
          <w:p w14:paraId="2B5C7027"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Drīzāk piekrītu (4); Pilnībā piekrītu (5)</w:t>
            </w:r>
          </w:p>
        </w:tc>
        <w:tc>
          <w:tcPr>
            <w:tcW w:w="1417" w:type="pct"/>
            <w:tcBorders>
              <w:top w:val="outset" w:sz="6" w:space="0" w:color="auto"/>
              <w:left w:val="outset" w:sz="6" w:space="0" w:color="auto"/>
              <w:bottom w:val="outset" w:sz="6" w:space="0" w:color="auto"/>
              <w:right w:val="outset" w:sz="6" w:space="0" w:color="auto"/>
            </w:tcBorders>
            <w:vAlign w:val="center"/>
          </w:tcPr>
          <w:p w14:paraId="1447465D"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(1) un (2) – papildu jautājums, ar paskaidrojumu/komentāru;</w:t>
            </w:r>
          </w:p>
          <w:p w14:paraId="0D630820"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(3), (4) un (5) – nākamais jautājums, izlaižot papildu jautājumu</w:t>
            </w:r>
          </w:p>
        </w:tc>
      </w:tr>
      <w:tr w:rsidR="008B6225" w:rsidRPr="008B6225" w14:paraId="1C6BDC49"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1ECA1AD2" w14:textId="77777777" w:rsidR="008B6225" w:rsidRPr="008B6225" w:rsidRDefault="008B6225" w:rsidP="00A23C45">
            <w:pPr>
              <w:spacing w:after="0" w:line="240" w:lineRule="auto"/>
              <w:jc w:val="center"/>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(5a)</w:t>
            </w:r>
          </w:p>
        </w:tc>
        <w:tc>
          <w:tcPr>
            <w:tcW w:w="1766" w:type="pct"/>
            <w:tcBorders>
              <w:top w:val="outset" w:sz="6" w:space="0" w:color="auto"/>
              <w:left w:val="outset" w:sz="6" w:space="0" w:color="auto"/>
              <w:bottom w:val="outset" w:sz="6" w:space="0" w:color="auto"/>
              <w:right w:val="outset" w:sz="6" w:space="0" w:color="auto"/>
            </w:tcBorders>
            <w:vAlign w:val="center"/>
          </w:tcPr>
          <w:p w14:paraId="4A73B12C"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Papildu jautājums pēc (1) un (2):</w:t>
            </w:r>
          </w:p>
          <w:p w14:paraId="5360B861"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lastRenderedPageBreak/>
              <w:t>Lūdzu, sniedz papildu informāciju vai pamatojumu savam iepriekš izteiktajam apgalvojumam!</w:t>
            </w:r>
          </w:p>
        </w:tc>
        <w:tc>
          <w:tcPr>
            <w:tcW w:w="1492" w:type="pct"/>
            <w:tcBorders>
              <w:top w:val="outset" w:sz="6" w:space="0" w:color="auto"/>
              <w:left w:val="outset" w:sz="6" w:space="0" w:color="auto"/>
              <w:bottom w:val="outset" w:sz="6" w:space="0" w:color="auto"/>
              <w:right w:val="outset" w:sz="6" w:space="0" w:color="auto"/>
            </w:tcBorders>
            <w:vAlign w:val="center"/>
          </w:tcPr>
          <w:p w14:paraId="408E4172"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lastRenderedPageBreak/>
              <w:t>Teksts</w:t>
            </w:r>
          </w:p>
        </w:tc>
        <w:tc>
          <w:tcPr>
            <w:tcW w:w="1417" w:type="pct"/>
            <w:tcBorders>
              <w:top w:val="outset" w:sz="6" w:space="0" w:color="auto"/>
              <w:left w:val="outset" w:sz="6" w:space="0" w:color="auto"/>
              <w:bottom w:val="outset" w:sz="6" w:space="0" w:color="auto"/>
              <w:right w:val="outset" w:sz="6" w:space="0" w:color="auto"/>
            </w:tcBorders>
            <w:vAlign w:val="center"/>
          </w:tcPr>
          <w:p w14:paraId="2C7194F2"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i/>
                <w:iCs/>
                <w:color w:val="7030A0"/>
                <w:sz w:val="18"/>
                <w:szCs w:val="18"/>
                <w:lang w:eastAsia="lv-LV"/>
              </w:rPr>
              <w:t>Secība turpinās</w:t>
            </w:r>
          </w:p>
        </w:tc>
      </w:tr>
      <w:tr w:rsidR="008B6225" w:rsidRPr="008B6225" w14:paraId="3CFA0F90"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70EEA439"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6.</w:t>
            </w:r>
          </w:p>
        </w:tc>
        <w:tc>
          <w:tcPr>
            <w:tcW w:w="1766" w:type="pct"/>
            <w:tcBorders>
              <w:top w:val="outset" w:sz="6" w:space="0" w:color="auto"/>
              <w:left w:val="outset" w:sz="6" w:space="0" w:color="auto"/>
              <w:bottom w:val="outset" w:sz="6" w:space="0" w:color="auto"/>
              <w:right w:val="outset" w:sz="6" w:space="0" w:color="auto"/>
            </w:tcBorders>
            <w:vAlign w:val="center"/>
          </w:tcPr>
          <w:p w14:paraId="0E1F1865"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Definētie mērķi kursa laikā tika sasniegti.</w:t>
            </w:r>
          </w:p>
        </w:tc>
        <w:tc>
          <w:tcPr>
            <w:tcW w:w="1492" w:type="pct"/>
            <w:tcBorders>
              <w:top w:val="outset" w:sz="6" w:space="0" w:color="auto"/>
              <w:left w:val="outset" w:sz="6" w:space="0" w:color="auto"/>
              <w:bottom w:val="outset" w:sz="6" w:space="0" w:color="auto"/>
              <w:right w:val="outset" w:sz="6" w:space="0" w:color="auto"/>
            </w:tcBorders>
            <w:vAlign w:val="center"/>
          </w:tcPr>
          <w:p w14:paraId="59F78D91"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Pilnībā nepiekrītu (1); Drīzāk nepiekrītu (2);</w:t>
            </w:r>
          </w:p>
          <w:p w14:paraId="08FEDA55"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Ne piekrītu, ne nepiekrītu (3); </w:t>
            </w:r>
          </w:p>
          <w:p w14:paraId="340A9C83"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Drīzāk piekrītu (4); Pilnībā piekrītu (5)</w:t>
            </w:r>
          </w:p>
        </w:tc>
        <w:tc>
          <w:tcPr>
            <w:tcW w:w="1417" w:type="pct"/>
            <w:tcBorders>
              <w:top w:val="outset" w:sz="6" w:space="0" w:color="auto"/>
              <w:left w:val="outset" w:sz="6" w:space="0" w:color="auto"/>
              <w:bottom w:val="outset" w:sz="6" w:space="0" w:color="auto"/>
              <w:right w:val="outset" w:sz="6" w:space="0" w:color="auto"/>
            </w:tcBorders>
            <w:vAlign w:val="center"/>
          </w:tcPr>
          <w:p w14:paraId="162318D2"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(1) un (2) – papildu jautājums, ar paskaidrojumu/komentāru;</w:t>
            </w:r>
          </w:p>
          <w:p w14:paraId="5B7BF1DA"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(3), (4) un (5) – nākamais jautājums, izlaižot papildu jautājumu</w:t>
            </w:r>
          </w:p>
        </w:tc>
      </w:tr>
      <w:tr w:rsidR="008B6225" w:rsidRPr="008B6225" w14:paraId="7BE65606"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6033D935" w14:textId="77777777" w:rsidR="008B6225" w:rsidRPr="008B6225" w:rsidRDefault="008B6225" w:rsidP="00A23C45">
            <w:pPr>
              <w:spacing w:after="0" w:line="240" w:lineRule="auto"/>
              <w:jc w:val="center"/>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(6a)</w:t>
            </w:r>
          </w:p>
        </w:tc>
        <w:tc>
          <w:tcPr>
            <w:tcW w:w="1766" w:type="pct"/>
            <w:tcBorders>
              <w:top w:val="outset" w:sz="6" w:space="0" w:color="auto"/>
              <w:left w:val="outset" w:sz="6" w:space="0" w:color="auto"/>
              <w:bottom w:val="outset" w:sz="6" w:space="0" w:color="auto"/>
              <w:right w:val="outset" w:sz="6" w:space="0" w:color="auto"/>
            </w:tcBorders>
            <w:vAlign w:val="center"/>
          </w:tcPr>
          <w:p w14:paraId="4020B48C"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Papildu jautājums pēc (1) un (2):</w:t>
            </w:r>
          </w:p>
          <w:p w14:paraId="41BB4716"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Lūdzu, sniedz papildu informāciju vai pamatojumu savam iepriekš izteiktajam apgalvojumam!</w:t>
            </w:r>
          </w:p>
        </w:tc>
        <w:tc>
          <w:tcPr>
            <w:tcW w:w="1492" w:type="pct"/>
            <w:tcBorders>
              <w:top w:val="outset" w:sz="6" w:space="0" w:color="auto"/>
              <w:left w:val="outset" w:sz="6" w:space="0" w:color="auto"/>
              <w:bottom w:val="outset" w:sz="6" w:space="0" w:color="auto"/>
              <w:right w:val="outset" w:sz="6" w:space="0" w:color="auto"/>
            </w:tcBorders>
            <w:vAlign w:val="center"/>
          </w:tcPr>
          <w:p w14:paraId="48A2E3DE"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2C0CA36D"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i/>
                <w:iCs/>
                <w:color w:val="7030A0"/>
                <w:sz w:val="18"/>
                <w:szCs w:val="18"/>
                <w:lang w:eastAsia="lv-LV"/>
              </w:rPr>
              <w:t>Secība turpinās</w:t>
            </w:r>
          </w:p>
        </w:tc>
      </w:tr>
      <w:tr w:rsidR="008B6225" w:rsidRPr="008B6225" w14:paraId="5E0919BF" w14:textId="77777777" w:rsidTr="00A23C45">
        <w:trPr>
          <w:trHeight w:val="378"/>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4E7F24AE"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7.</w:t>
            </w:r>
          </w:p>
        </w:tc>
        <w:tc>
          <w:tcPr>
            <w:tcW w:w="1766" w:type="pct"/>
            <w:tcBorders>
              <w:top w:val="outset" w:sz="6" w:space="0" w:color="auto"/>
              <w:left w:val="outset" w:sz="6" w:space="0" w:color="auto"/>
              <w:bottom w:val="outset" w:sz="6" w:space="0" w:color="auto"/>
              <w:right w:val="outset" w:sz="6" w:space="0" w:color="auto"/>
            </w:tcBorders>
            <w:vAlign w:val="center"/>
            <w:hideMark/>
          </w:tcPr>
          <w:p w14:paraId="7EAF14D4"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Mācību slodze programmas apgūšanai bija:</w:t>
            </w:r>
          </w:p>
        </w:tc>
        <w:tc>
          <w:tcPr>
            <w:tcW w:w="1492" w:type="pct"/>
            <w:tcBorders>
              <w:top w:val="outset" w:sz="6" w:space="0" w:color="auto"/>
              <w:left w:val="outset" w:sz="6" w:space="0" w:color="auto"/>
              <w:bottom w:val="outset" w:sz="6" w:space="0" w:color="auto"/>
              <w:right w:val="outset" w:sz="6" w:space="0" w:color="auto"/>
            </w:tcBorders>
            <w:vAlign w:val="center"/>
          </w:tcPr>
          <w:p w14:paraId="1DBEFF41"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Pārāk maza;</w:t>
            </w:r>
          </w:p>
          <w:p w14:paraId="43532C5E"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Optimāla;</w:t>
            </w:r>
          </w:p>
          <w:p w14:paraId="68D9DE20"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Pārāk liela</w:t>
            </w:r>
          </w:p>
        </w:tc>
        <w:tc>
          <w:tcPr>
            <w:tcW w:w="1417" w:type="pct"/>
            <w:tcBorders>
              <w:top w:val="outset" w:sz="6" w:space="0" w:color="auto"/>
              <w:left w:val="outset" w:sz="6" w:space="0" w:color="auto"/>
              <w:bottom w:val="outset" w:sz="6" w:space="0" w:color="auto"/>
              <w:right w:val="outset" w:sz="6" w:space="0" w:color="auto"/>
            </w:tcBorders>
            <w:vAlign w:val="center"/>
          </w:tcPr>
          <w:p w14:paraId="092B5283"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p>
        </w:tc>
      </w:tr>
      <w:tr w:rsidR="008B6225" w:rsidRPr="008B6225" w14:paraId="5E28AA36"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1E2D8A08"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8.</w:t>
            </w:r>
          </w:p>
        </w:tc>
        <w:tc>
          <w:tcPr>
            <w:tcW w:w="1766" w:type="pct"/>
            <w:tcBorders>
              <w:top w:val="outset" w:sz="6" w:space="0" w:color="auto"/>
              <w:left w:val="outset" w:sz="6" w:space="0" w:color="auto"/>
              <w:bottom w:val="outset" w:sz="6" w:space="0" w:color="auto"/>
              <w:right w:val="outset" w:sz="6" w:space="0" w:color="auto"/>
            </w:tcBorders>
            <w:vAlign w:val="center"/>
            <w:hideMark/>
          </w:tcPr>
          <w:p w14:paraId="54151FFC"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Zināšanu novērtēšanā docētājs (-i) vadījās pēc programmas aprakstā noteiktajiem kritērijiem.</w:t>
            </w:r>
          </w:p>
        </w:tc>
        <w:tc>
          <w:tcPr>
            <w:tcW w:w="1492" w:type="pct"/>
            <w:tcBorders>
              <w:top w:val="outset" w:sz="6" w:space="0" w:color="auto"/>
              <w:left w:val="outset" w:sz="6" w:space="0" w:color="auto"/>
              <w:bottom w:val="outset" w:sz="6" w:space="0" w:color="auto"/>
              <w:right w:val="outset" w:sz="6" w:space="0" w:color="auto"/>
            </w:tcBorders>
            <w:vAlign w:val="center"/>
          </w:tcPr>
          <w:p w14:paraId="4978E089"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Pilnībā nepiekrītu (1); Drīzāk nepiekrītu (2);</w:t>
            </w:r>
          </w:p>
          <w:p w14:paraId="3D4AC761"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Ne piekrītu, ne nepiekrītu (3); </w:t>
            </w:r>
          </w:p>
          <w:p w14:paraId="78CFA562"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Drīzāk piekrītu (4); Pilnībā piekrītu (5)</w:t>
            </w:r>
          </w:p>
        </w:tc>
        <w:tc>
          <w:tcPr>
            <w:tcW w:w="1417" w:type="pct"/>
            <w:tcBorders>
              <w:top w:val="outset" w:sz="6" w:space="0" w:color="auto"/>
              <w:left w:val="outset" w:sz="6" w:space="0" w:color="auto"/>
              <w:bottom w:val="outset" w:sz="6" w:space="0" w:color="auto"/>
              <w:right w:val="outset" w:sz="6" w:space="0" w:color="auto"/>
            </w:tcBorders>
            <w:vAlign w:val="center"/>
          </w:tcPr>
          <w:p w14:paraId="510895F0"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(1) un (2) – papildu jautājums, ar paskaidrojumu/komentāru;</w:t>
            </w:r>
          </w:p>
          <w:p w14:paraId="516D0369"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(3), (4) un (5) – nākamais jautājums, izlaižot papildu jautājumu</w:t>
            </w:r>
          </w:p>
        </w:tc>
      </w:tr>
      <w:tr w:rsidR="008B6225" w:rsidRPr="008B6225" w14:paraId="4F44E724"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5916B601" w14:textId="77777777" w:rsidR="008B6225" w:rsidRPr="008B6225" w:rsidRDefault="008B6225" w:rsidP="00A23C45">
            <w:pPr>
              <w:spacing w:after="0" w:line="240" w:lineRule="auto"/>
              <w:jc w:val="center"/>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(8a)</w:t>
            </w:r>
          </w:p>
        </w:tc>
        <w:tc>
          <w:tcPr>
            <w:tcW w:w="1766" w:type="pct"/>
            <w:tcBorders>
              <w:top w:val="outset" w:sz="6" w:space="0" w:color="auto"/>
              <w:left w:val="outset" w:sz="6" w:space="0" w:color="auto"/>
              <w:bottom w:val="outset" w:sz="6" w:space="0" w:color="auto"/>
              <w:right w:val="outset" w:sz="6" w:space="0" w:color="auto"/>
            </w:tcBorders>
            <w:vAlign w:val="center"/>
          </w:tcPr>
          <w:p w14:paraId="57511CC7"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Papildu jautājums pēc (1) un (2):</w:t>
            </w:r>
          </w:p>
          <w:p w14:paraId="5DC9E505"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Lūdzu, sniedz papildu informāciju vai pamatojumu savam iepriekš izteiktajam apgalvojumam!</w:t>
            </w:r>
          </w:p>
        </w:tc>
        <w:tc>
          <w:tcPr>
            <w:tcW w:w="1492" w:type="pct"/>
            <w:tcBorders>
              <w:top w:val="outset" w:sz="6" w:space="0" w:color="auto"/>
              <w:left w:val="outset" w:sz="6" w:space="0" w:color="auto"/>
              <w:bottom w:val="outset" w:sz="6" w:space="0" w:color="auto"/>
              <w:right w:val="outset" w:sz="6" w:space="0" w:color="auto"/>
            </w:tcBorders>
            <w:vAlign w:val="center"/>
          </w:tcPr>
          <w:p w14:paraId="2563CBC8"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008D7EC4"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i/>
                <w:iCs/>
                <w:color w:val="7030A0"/>
                <w:sz w:val="18"/>
                <w:szCs w:val="18"/>
                <w:lang w:eastAsia="lv-LV"/>
              </w:rPr>
              <w:t>Secība turpinās</w:t>
            </w:r>
          </w:p>
        </w:tc>
      </w:tr>
      <w:tr w:rsidR="008B6225" w:rsidRPr="008B6225" w14:paraId="3317F078"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216423ED"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9.</w:t>
            </w:r>
          </w:p>
        </w:tc>
        <w:tc>
          <w:tcPr>
            <w:tcW w:w="1766" w:type="pct"/>
            <w:tcBorders>
              <w:top w:val="outset" w:sz="6" w:space="0" w:color="auto"/>
              <w:left w:val="outset" w:sz="6" w:space="0" w:color="auto"/>
              <w:bottom w:val="outset" w:sz="6" w:space="0" w:color="auto"/>
              <w:right w:val="outset" w:sz="6" w:space="0" w:color="auto"/>
            </w:tcBorders>
            <w:vAlign w:val="center"/>
          </w:tcPr>
          <w:p w14:paraId="19C303DB"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sz w:val="18"/>
                <w:szCs w:val="18"/>
                <w:lang w:eastAsia="lv-LV"/>
              </w:rPr>
              <w:t>Programmas saturs un sasniegtie studiju rezultāti (kompetences, zināšanas, prasmes) atbilst darba tirgus vajadzībām.</w:t>
            </w:r>
          </w:p>
        </w:tc>
        <w:tc>
          <w:tcPr>
            <w:tcW w:w="1492" w:type="pct"/>
            <w:tcBorders>
              <w:top w:val="outset" w:sz="6" w:space="0" w:color="auto"/>
              <w:left w:val="outset" w:sz="6" w:space="0" w:color="auto"/>
              <w:bottom w:val="outset" w:sz="6" w:space="0" w:color="auto"/>
              <w:right w:val="outset" w:sz="6" w:space="0" w:color="auto"/>
            </w:tcBorders>
            <w:vAlign w:val="center"/>
          </w:tcPr>
          <w:p w14:paraId="6977AA58"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Pilnībā nepiekrītu (1); Drīzāk nepiekrītu (2);</w:t>
            </w:r>
          </w:p>
          <w:p w14:paraId="2ECEDE3E"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 xml:space="preserve">Ne piekrītu, ne nepiekrītu (3); </w:t>
            </w:r>
          </w:p>
          <w:p w14:paraId="5130B60E" w14:textId="77777777" w:rsidR="008B6225" w:rsidRPr="008B6225" w:rsidRDefault="008B6225" w:rsidP="00A23C45">
            <w:pPr>
              <w:spacing w:after="0" w:line="240" w:lineRule="auto"/>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sz w:val="18"/>
                <w:szCs w:val="18"/>
                <w:lang w:eastAsia="lv-LV"/>
              </w:rPr>
              <w:t>Drīzāk piekrītu (4); Pilnībā piekrītu (5)</w:t>
            </w:r>
          </w:p>
        </w:tc>
        <w:tc>
          <w:tcPr>
            <w:tcW w:w="1417" w:type="pct"/>
            <w:tcBorders>
              <w:top w:val="outset" w:sz="6" w:space="0" w:color="auto"/>
              <w:left w:val="outset" w:sz="6" w:space="0" w:color="auto"/>
              <w:bottom w:val="outset" w:sz="6" w:space="0" w:color="auto"/>
              <w:right w:val="outset" w:sz="6" w:space="0" w:color="auto"/>
            </w:tcBorders>
            <w:vAlign w:val="center"/>
          </w:tcPr>
          <w:p w14:paraId="54C52681"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r w:rsidRPr="008B6225">
              <w:rPr>
                <w:rFonts w:ascii="Times New Roman" w:eastAsia="Times New Roman" w:hAnsi="Times New Roman" w:cs="Times New Roman"/>
                <w:color w:val="7030A0"/>
                <w:sz w:val="18"/>
                <w:szCs w:val="18"/>
                <w:lang w:eastAsia="lv-LV"/>
              </w:rPr>
              <w:t>Pēc (1) un (2) – papildu jautājums, ar paskaidrojumu/komentāru;</w:t>
            </w:r>
          </w:p>
          <w:p w14:paraId="2A630086" w14:textId="77777777" w:rsidR="008B6225" w:rsidRPr="008B6225" w:rsidRDefault="008B6225" w:rsidP="00A23C45">
            <w:pPr>
              <w:spacing w:after="0" w:line="240" w:lineRule="auto"/>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color w:val="7030A0"/>
                <w:sz w:val="18"/>
                <w:szCs w:val="18"/>
                <w:lang w:eastAsia="lv-LV"/>
              </w:rPr>
              <w:t>Pēc (3), (4) un (5) – nākamais jautājums, izlaižot papildu jautājumu</w:t>
            </w:r>
          </w:p>
        </w:tc>
      </w:tr>
      <w:tr w:rsidR="008B6225" w:rsidRPr="008B6225" w14:paraId="0229E741"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3870F2A0" w14:textId="77777777" w:rsidR="008B6225" w:rsidRPr="008B6225" w:rsidRDefault="008B6225" w:rsidP="00A23C45">
            <w:pPr>
              <w:spacing w:after="0" w:line="240" w:lineRule="auto"/>
              <w:jc w:val="center"/>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(9a)</w:t>
            </w:r>
          </w:p>
        </w:tc>
        <w:tc>
          <w:tcPr>
            <w:tcW w:w="1766" w:type="pct"/>
            <w:tcBorders>
              <w:top w:val="outset" w:sz="6" w:space="0" w:color="auto"/>
              <w:left w:val="outset" w:sz="6" w:space="0" w:color="auto"/>
              <w:bottom w:val="outset" w:sz="6" w:space="0" w:color="auto"/>
              <w:right w:val="outset" w:sz="6" w:space="0" w:color="auto"/>
            </w:tcBorders>
            <w:vAlign w:val="center"/>
          </w:tcPr>
          <w:p w14:paraId="6018C575" w14:textId="77777777" w:rsidR="008B6225" w:rsidRPr="008B6225" w:rsidRDefault="008B6225" w:rsidP="00A23C45">
            <w:pPr>
              <w:spacing w:after="0" w:line="240" w:lineRule="auto"/>
              <w:jc w:val="both"/>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Papildu jautājums pēc (1) un (2):</w:t>
            </w:r>
          </w:p>
          <w:p w14:paraId="315BF179"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color w:val="7030A0"/>
                <w:sz w:val="18"/>
                <w:szCs w:val="18"/>
                <w:lang w:eastAsia="lv-LV"/>
              </w:rPr>
              <w:t>Lūdzu, sniedz papildu informāciju vai pamatojumu savam iepriekš izteiktajam apgalvojumam!</w:t>
            </w:r>
          </w:p>
        </w:tc>
        <w:tc>
          <w:tcPr>
            <w:tcW w:w="1492" w:type="pct"/>
            <w:tcBorders>
              <w:top w:val="outset" w:sz="6" w:space="0" w:color="auto"/>
              <w:left w:val="outset" w:sz="6" w:space="0" w:color="auto"/>
              <w:bottom w:val="outset" w:sz="6" w:space="0" w:color="auto"/>
              <w:right w:val="outset" w:sz="6" w:space="0" w:color="auto"/>
            </w:tcBorders>
            <w:vAlign w:val="center"/>
          </w:tcPr>
          <w:p w14:paraId="2F4B6BE0" w14:textId="77777777" w:rsidR="008B6225" w:rsidRPr="008B6225" w:rsidRDefault="008B6225" w:rsidP="00A23C45">
            <w:pPr>
              <w:spacing w:after="0" w:line="240" w:lineRule="auto"/>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7B763DB3" w14:textId="77777777" w:rsidR="008B6225" w:rsidRPr="008B6225" w:rsidRDefault="008B6225" w:rsidP="00A23C45">
            <w:pPr>
              <w:spacing w:after="0" w:line="240" w:lineRule="auto"/>
              <w:rPr>
                <w:rFonts w:ascii="Times New Roman" w:eastAsia="Times New Roman" w:hAnsi="Times New Roman" w:cs="Times New Roman"/>
                <w:i/>
                <w:iCs/>
                <w:color w:val="7030A0"/>
                <w:sz w:val="18"/>
                <w:szCs w:val="18"/>
                <w:lang w:eastAsia="lv-LV"/>
              </w:rPr>
            </w:pPr>
            <w:r w:rsidRPr="008B6225">
              <w:rPr>
                <w:rFonts w:ascii="Times New Roman" w:eastAsia="Times New Roman" w:hAnsi="Times New Roman" w:cs="Times New Roman"/>
                <w:i/>
                <w:iCs/>
                <w:color w:val="7030A0"/>
                <w:sz w:val="18"/>
                <w:szCs w:val="18"/>
                <w:lang w:eastAsia="lv-LV"/>
              </w:rPr>
              <w:t>Secība turpinās</w:t>
            </w:r>
          </w:p>
        </w:tc>
      </w:tr>
      <w:tr w:rsidR="008B6225" w:rsidRPr="008B6225" w14:paraId="33C871A0"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1C995965"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10.</w:t>
            </w:r>
          </w:p>
        </w:tc>
        <w:tc>
          <w:tcPr>
            <w:tcW w:w="1766" w:type="pct"/>
            <w:tcBorders>
              <w:top w:val="outset" w:sz="6" w:space="0" w:color="auto"/>
              <w:left w:val="outset" w:sz="6" w:space="0" w:color="auto"/>
              <w:bottom w:val="outset" w:sz="6" w:space="0" w:color="auto"/>
              <w:right w:val="outset" w:sz="6" w:space="0" w:color="auto"/>
            </w:tcBorders>
            <w:vAlign w:val="center"/>
            <w:hideMark/>
          </w:tcPr>
          <w:p w14:paraId="420734B0"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Kas bija programmas stiprās puses? Kas bija visnozīmīgākais un paliekošākais?</w:t>
            </w:r>
          </w:p>
        </w:tc>
        <w:tc>
          <w:tcPr>
            <w:tcW w:w="1492" w:type="pct"/>
            <w:tcBorders>
              <w:top w:val="outset" w:sz="6" w:space="0" w:color="auto"/>
              <w:left w:val="outset" w:sz="6" w:space="0" w:color="auto"/>
              <w:bottom w:val="outset" w:sz="6" w:space="0" w:color="auto"/>
              <w:right w:val="outset" w:sz="6" w:space="0" w:color="auto"/>
            </w:tcBorders>
            <w:vAlign w:val="center"/>
          </w:tcPr>
          <w:p w14:paraId="297D08E0"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3CCA310C"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p>
        </w:tc>
      </w:tr>
      <w:tr w:rsidR="008B6225" w:rsidRPr="008B6225" w14:paraId="51CE922F"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2BBBDFEB"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11.</w:t>
            </w:r>
          </w:p>
        </w:tc>
        <w:tc>
          <w:tcPr>
            <w:tcW w:w="1766" w:type="pct"/>
            <w:tcBorders>
              <w:top w:val="outset" w:sz="6" w:space="0" w:color="auto"/>
              <w:left w:val="outset" w:sz="6" w:space="0" w:color="auto"/>
              <w:bottom w:val="outset" w:sz="6" w:space="0" w:color="auto"/>
              <w:right w:val="outset" w:sz="6" w:space="0" w:color="auto"/>
            </w:tcBorders>
            <w:vAlign w:val="center"/>
            <w:hideMark/>
          </w:tcPr>
          <w:p w14:paraId="6189F736"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Kādas bija programmas vājās puses? Kādas izmaiņas Jūs ieteiktu docētājam (-iem) veikt, īstenojot šo programmu nākamreiz?</w:t>
            </w:r>
          </w:p>
        </w:tc>
        <w:tc>
          <w:tcPr>
            <w:tcW w:w="1492" w:type="pct"/>
            <w:tcBorders>
              <w:top w:val="outset" w:sz="6" w:space="0" w:color="auto"/>
              <w:left w:val="outset" w:sz="6" w:space="0" w:color="auto"/>
              <w:bottom w:val="outset" w:sz="6" w:space="0" w:color="auto"/>
              <w:right w:val="outset" w:sz="6" w:space="0" w:color="auto"/>
            </w:tcBorders>
            <w:vAlign w:val="center"/>
          </w:tcPr>
          <w:p w14:paraId="04DDBF58" w14:textId="77777777" w:rsidR="008B6225" w:rsidRPr="008B6225" w:rsidRDefault="008B6225" w:rsidP="00A23C45">
            <w:pPr>
              <w:spacing w:after="0" w:line="240" w:lineRule="auto"/>
              <w:rPr>
                <w:rFonts w:ascii="Times New Roman" w:eastAsia="Times New Roman" w:hAnsi="Times New Roman" w:cs="Times New Roman"/>
                <w:sz w:val="18"/>
                <w:szCs w:val="18"/>
                <w:lang w:eastAsia="lv-LV"/>
              </w:rPr>
            </w:pPr>
            <w:r w:rsidRPr="008B6225">
              <w:rPr>
                <w:rFonts w:ascii="Times New Roman" w:eastAsia="Times New Roman" w:hAnsi="Times New Roman" w:cs="Times New Roman"/>
                <w:i/>
                <w:iCs/>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4A023596"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p>
        </w:tc>
      </w:tr>
      <w:tr w:rsidR="008B6225" w:rsidRPr="008B6225" w14:paraId="718C1083" w14:textId="77777777" w:rsidTr="00A23C45">
        <w:trPr>
          <w:tblCellSpacing w:w="15" w:type="dxa"/>
        </w:trPr>
        <w:tc>
          <w:tcPr>
            <w:tcW w:w="253" w:type="pct"/>
            <w:tcBorders>
              <w:top w:val="outset" w:sz="6" w:space="0" w:color="auto"/>
              <w:left w:val="outset" w:sz="6" w:space="0" w:color="auto"/>
              <w:bottom w:val="outset" w:sz="6" w:space="0" w:color="auto"/>
              <w:right w:val="outset" w:sz="6" w:space="0" w:color="auto"/>
            </w:tcBorders>
            <w:vAlign w:val="center"/>
          </w:tcPr>
          <w:p w14:paraId="7CCAF4FB" w14:textId="77777777" w:rsidR="008B6225" w:rsidRPr="008B6225" w:rsidRDefault="008B6225" w:rsidP="00A23C45">
            <w:pPr>
              <w:spacing w:after="0" w:line="240" w:lineRule="auto"/>
              <w:jc w:val="center"/>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12.</w:t>
            </w:r>
          </w:p>
        </w:tc>
        <w:tc>
          <w:tcPr>
            <w:tcW w:w="1766" w:type="pct"/>
            <w:tcBorders>
              <w:top w:val="outset" w:sz="6" w:space="0" w:color="auto"/>
              <w:left w:val="outset" w:sz="6" w:space="0" w:color="auto"/>
              <w:bottom w:val="outset" w:sz="6" w:space="0" w:color="auto"/>
              <w:right w:val="outset" w:sz="6" w:space="0" w:color="auto"/>
            </w:tcBorders>
            <w:vAlign w:val="center"/>
          </w:tcPr>
          <w:p w14:paraId="11252E35" w14:textId="77777777" w:rsidR="008B6225" w:rsidRPr="008B6225" w:rsidRDefault="008B6225" w:rsidP="00A23C45">
            <w:pPr>
              <w:spacing w:after="0" w:line="240" w:lineRule="auto"/>
              <w:jc w:val="both"/>
              <w:rPr>
                <w:rFonts w:ascii="Times New Roman" w:eastAsia="Times New Roman" w:hAnsi="Times New Roman" w:cs="Times New Roman"/>
                <w:sz w:val="18"/>
                <w:szCs w:val="18"/>
                <w:lang w:eastAsia="lv-LV"/>
              </w:rPr>
            </w:pPr>
            <w:r w:rsidRPr="008B6225">
              <w:rPr>
                <w:rFonts w:ascii="Times New Roman" w:eastAsia="Times New Roman" w:hAnsi="Times New Roman" w:cs="Times New Roman"/>
                <w:sz w:val="18"/>
                <w:szCs w:val="18"/>
                <w:lang w:eastAsia="lv-LV"/>
              </w:rPr>
              <w:t>Citi ieteikumi vai komentāri.</w:t>
            </w:r>
          </w:p>
        </w:tc>
        <w:tc>
          <w:tcPr>
            <w:tcW w:w="1492" w:type="pct"/>
            <w:tcBorders>
              <w:top w:val="outset" w:sz="6" w:space="0" w:color="auto"/>
              <w:left w:val="outset" w:sz="6" w:space="0" w:color="auto"/>
              <w:bottom w:val="outset" w:sz="6" w:space="0" w:color="auto"/>
              <w:right w:val="outset" w:sz="6" w:space="0" w:color="auto"/>
            </w:tcBorders>
            <w:vAlign w:val="center"/>
          </w:tcPr>
          <w:p w14:paraId="5A6A65D1" w14:textId="77777777" w:rsidR="008B6225" w:rsidRPr="008B6225" w:rsidRDefault="008B6225" w:rsidP="00A23C45">
            <w:pPr>
              <w:spacing w:after="0" w:line="240" w:lineRule="auto"/>
              <w:rPr>
                <w:rFonts w:ascii="Times New Roman" w:eastAsia="Times New Roman" w:hAnsi="Times New Roman" w:cs="Times New Roman"/>
                <w:i/>
                <w:iCs/>
                <w:sz w:val="18"/>
                <w:szCs w:val="18"/>
                <w:lang w:eastAsia="lv-LV"/>
              </w:rPr>
            </w:pPr>
            <w:r w:rsidRPr="008B6225">
              <w:rPr>
                <w:rFonts w:ascii="Times New Roman" w:eastAsia="Times New Roman" w:hAnsi="Times New Roman" w:cs="Times New Roman"/>
                <w:i/>
                <w:iCs/>
                <w:sz w:val="18"/>
                <w:szCs w:val="18"/>
                <w:lang w:eastAsia="lv-LV"/>
              </w:rPr>
              <w:t>Teksts</w:t>
            </w:r>
          </w:p>
        </w:tc>
        <w:tc>
          <w:tcPr>
            <w:tcW w:w="1417" w:type="pct"/>
            <w:tcBorders>
              <w:top w:val="outset" w:sz="6" w:space="0" w:color="auto"/>
              <w:left w:val="outset" w:sz="6" w:space="0" w:color="auto"/>
              <w:bottom w:val="outset" w:sz="6" w:space="0" w:color="auto"/>
              <w:right w:val="outset" w:sz="6" w:space="0" w:color="auto"/>
            </w:tcBorders>
            <w:vAlign w:val="center"/>
          </w:tcPr>
          <w:p w14:paraId="3ED0F677" w14:textId="77777777" w:rsidR="008B6225" w:rsidRPr="008B6225" w:rsidRDefault="008B6225" w:rsidP="00A23C45">
            <w:pPr>
              <w:spacing w:after="0" w:line="240" w:lineRule="auto"/>
              <w:rPr>
                <w:rFonts w:ascii="Times New Roman" w:eastAsia="Times New Roman" w:hAnsi="Times New Roman" w:cs="Times New Roman"/>
                <w:color w:val="7030A0"/>
                <w:sz w:val="18"/>
                <w:szCs w:val="18"/>
                <w:lang w:eastAsia="lv-LV"/>
              </w:rPr>
            </w:pPr>
          </w:p>
        </w:tc>
      </w:tr>
    </w:tbl>
    <w:p w14:paraId="74BB86D4" w14:textId="77777777" w:rsidR="00703A0C" w:rsidRPr="007735EB" w:rsidRDefault="00703A0C" w:rsidP="007735EB">
      <w:pPr>
        <w:spacing w:before="120" w:after="120"/>
        <w:rPr>
          <w:rFonts w:ascii="Times New Roman" w:hAnsi="Times New Roman" w:cs="Times New Roman"/>
          <w:color w:val="000000" w:themeColor="text1"/>
          <w:sz w:val="24"/>
          <w:szCs w:val="24"/>
        </w:rPr>
      </w:pPr>
    </w:p>
    <w:p w14:paraId="38C1B58E" w14:textId="77777777" w:rsidR="008B6225" w:rsidRDefault="008B6225">
      <w:pPr>
        <w:rPr>
          <w:rFonts w:ascii="Times New Roman" w:eastAsiaTheme="majorEastAsia"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5D8A295E" w14:textId="309B9F1E" w:rsidR="00AB05AE" w:rsidRPr="00703A0C" w:rsidRDefault="00703A0C" w:rsidP="00703A0C">
      <w:pPr>
        <w:pStyle w:val="Heading2"/>
        <w:spacing w:before="120" w:after="120"/>
        <w:ind w:left="720"/>
        <w:rPr>
          <w:rFonts w:ascii="Times New Roman" w:hAnsi="Times New Roman" w:cs="Times New Roman"/>
          <w:b/>
          <w:bCs/>
          <w:color w:val="000000" w:themeColor="text1"/>
          <w:sz w:val="24"/>
          <w:szCs w:val="24"/>
        </w:rPr>
      </w:pPr>
      <w:bookmarkStart w:id="27" w:name="_Toc218505024"/>
      <w:r w:rsidRPr="00703A0C">
        <w:rPr>
          <w:rFonts w:ascii="Times New Roman" w:hAnsi="Times New Roman" w:cs="Times New Roman"/>
          <w:b/>
          <w:bCs/>
          <w:color w:val="000000" w:themeColor="text1"/>
          <w:sz w:val="24"/>
          <w:szCs w:val="24"/>
        </w:rPr>
        <w:lastRenderedPageBreak/>
        <w:t xml:space="preserve">Pielikums 2. </w:t>
      </w:r>
      <w:r w:rsidR="008B6225">
        <w:rPr>
          <w:rFonts w:ascii="Times New Roman" w:hAnsi="Times New Roman" w:cs="Times New Roman"/>
          <w:b/>
          <w:bCs/>
          <w:color w:val="000000" w:themeColor="text1"/>
          <w:sz w:val="24"/>
          <w:szCs w:val="24"/>
        </w:rPr>
        <w:t>PPP apliecības pielikums</w:t>
      </w:r>
      <w:bookmarkEnd w:id="27"/>
    </w:p>
    <w:p w14:paraId="5D8A295F" w14:textId="77777777" w:rsidR="00AB05AE" w:rsidRDefault="00AB05AE" w:rsidP="007735EB">
      <w:pPr>
        <w:spacing w:before="120" w:after="120"/>
        <w:rPr>
          <w:rFonts w:ascii="Times New Roman" w:hAnsi="Times New Roman" w:cs="Times New Roman"/>
          <w:color w:val="000000" w:themeColor="text1"/>
          <w:sz w:val="24"/>
          <w:szCs w:val="24"/>
        </w:rPr>
      </w:pPr>
    </w:p>
    <w:p w14:paraId="76DF8565" w14:textId="77777777" w:rsidR="008B6225" w:rsidRPr="008B6225" w:rsidRDefault="008B6225" w:rsidP="008B6225">
      <w:pPr>
        <w:pStyle w:val="Header"/>
        <w:jc w:val="center"/>
        <w:rPr>
          <w:rFonts w:ascii="Times New Roman" w:hAnsi="Times New Roman" w:cs="Times New Roman"/>
          <w:i/>
          <w:iCs/>
          <w:noProof/>
          <w:sz w:val="32"/>
          <w:szCs w:val="32"/>
          <w:lang w:val="en-US"/>
        </w:rPr>
      </w:pPr>
      <w:r w:rsidRPr="008B6225">
        <w:rPr>
          <w:rFonts w:ascii="Times New Roman" w:hAnsi="Times New Roman" w:cs="Times New Roman"/>
          <w:i/>
          <w:iCs/>
          <w:noProof/>
          <w:sz w:val="32"/>
          <w:szCs w:val="32"/>
          <w:lang w:val="en-US"/>
        </w:rPr>
        <w:t>[AII LOGO]</w:t>
      </w:r>
    </w:p>
    <w:p w14:paraId="6355D755" w14:textId="77777777" w:rsidR="008B6225" w:rsidRPr="008B6225" w:rsidRDefault="008B6225" w:rsidP="008B6225">
      <w:pPr>
        <w:jc w:val="both"/>
        <w:rPr>
          <w:rFonts w:ascii="Times New Roman" w:hAnsi="Times New Roman" w:cs="Times New Roman"/>
          <w:sz w:val="20"/>
          <w:szCs w:val="20"/>
        </w:rPr>
      </w:pPr>
    </w:p>
    <w:tbl>
      <w:tblPr>
        <w:tblpPr w:leftFromText="180" w:rightFromText="180" w:vertAnchor="text" w:horzAnchor="margin" w:tblpY="1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8B6225" w:rsidRPr="008B6225" w14:paraId="08A49CD4" w14:textId="77777777" w:rsidTr="00A23C45">
        <w:tc>
          <w:tcPr>
            <w:tcW w:w="9747" w:type="dxa"/>
          </w:tcPr>
          <w:p w14:paraId="6F32BDB4" w14:textId="77777777" w:rsidR="008B6225" w:rsidRPr="008B6225" w:rsidRDefault="008B6225" w:rsidP="00A23C45">
            <w:pPr>
              <w:pStyle w:val="tvhtmlmktable"/>
              <w:spacing w:before="0" w:beforeAutospacing="0" w:after="0" w:afterAutospacing="0"/>
              <w:jc w:val="both"/>
              <w:rPr>
                <w:i/>
                <w:iCs/>
                <w:sz w:val="20"/>
                <w:szCs w:val="20"/>
              </w:rPr>
            </w:pPr>
            <w:r w:rsidRPr="008B6225">
              <w:rPr>
                <w:i/>
                <w:iCs/>
                <w:sz w:val="20"/>
                <w:szCs w:val="20"/>
              </w:rPr>
              <w:t>Šis profesionālās pilnveides programmas apliecības pielikums atbilst Eiropas Komisijas, Eiropas Padomes un Apvienoto Nāciju Izglītības, zinātnes un kultūras organizācijas (UNESCO/CEPES) izveidotajam paraugam. Apliecības pielikums ir sagatavots par profesionālās pilnveides programmas apguvi augstākās izglītības iestādē, lai sniegtu objektīvu informāciju un nodrošinātu kvalifikāciju apliecinošu dokumentu (piemēram, diplomu, sertifikātu) akadēmisku un profesionālu atzīšanu. Šajā dokumentā ir iekļautas ziņas par apliecības pielikumā minētās personas sekmīgi pabeigto mācību aktivitāšu būtību, ciklu, kontekstu, saturu un statusu.</w:t>
            </w:r>
          </w:p>
        </w:tc>
      </w:tr>
    </w:tbl>
    <w:p w14:paraId="2E211D00" w14:textId="77777777" w:rsidR="008B6225" w:rsidRPr="008B6225" w:rsidRDefault="008B6225" w:rsidP="008B6225">
      <w:pPr>
        <w:rPr>
          <w:rFonts w:ascii="Times New Roman" w:hAnsi="Times New Roman" w:cs="Times New Roman"/>
          <w:b/>
          <w:bCs/>
        </w:rPr>
      </w:pPr>
    </w:p>
    <w:p w14:paraId="47625461" w14:textId="77777777" w:rsidR="008B6225" w:rsidRPr="008B6225" w:rsidRDefault="008B6225" w:rsidP="008B6225">
      <w:pPr>
        <w:jc w:val="center"/>
        <w:rPr>
          <w:rFonts w:ascii="Times New Roman" w:hAnsi="Times New Roman" w:cs="Times New Roman"/>
          <w:b/>
          <w:bCs/>
        </w:rPr>
      </w:pPr>
      <w:r w:rsidRPr="008B6225">
        <w:rPr>
          <w:rFonts w:ascii="Times New Roman" w:hAnsi="Times New Roman" w:cs="Times New Roman"/>
          <w:b/>
          <w:bCs/>
        </w:rPr>
        <w:t>APLIECĪBAS PIELIKUMS (apliecības sērija, Nr.)</w:t>
      </w:r>
    </w:p>
    <w:p w14:paraId="224BDCBD" w14:textId="77777777" w:rsidR="008B6225" w:rsidRPr="008B6225" w:rsidRDefault="008B6225" w:rsidP="008B6225">
      <w:pPr>
        <w:jc w:val="center"/>
        <w:rPr>
          <w:rFonts w:ascii="Times New Roman" w:hAnsi="Times New Roman" w:cs="Times New Roman"/>
          <w:b/>
        </w:rPr>
      </w:pPr>
    </w:p>
    <w:tbl>
      <w:tblPr>
        <w:tblStyle w:val="TableGrid"/>
        <w:tblW w:w="10207" w:type="dxa"/>
        <w:tblInd w:w="-284" w:type="dxa"/>
        <w:tblLayout w:type="fixed"/>
        <w:tblLook w:val="04A0" w:firstRow="1" w:lastRow="0" w:firstColumn="1" w:lastColumn="0" w:noHBand="0" w:noVBand="1"/>
      </w:tblPr>
      <w:tblGrid>
        <w:gridCol w:w="10207"/>
      </w:tblGrid>
      <w:tr w:rsidR="008B6225" w:rsidRPr="008B6225" w14:paraId="4C4C808C" w14:textId="77777777" w:rsidTr="00A23C45">
        <w:trPr>
          <w:cantSplit/>
        </w:trPr>
        <w:tc>
          <w:tcPr>
            <w:tcW w:w="10207" w:type="dxa"/>
            <w:tcBorders>
              <w:top w:val="nil"/>
              <w:left w:val="nil"/>
              <w:bottom w:val="nil"/>
              <w:right w:val="nil"/>
            </w:tcBorders>
          </w:tcPr>
          <w:p w14:paraId="53600DC9" w14:textId="77777777" w:rsidR="008B6225" w:rsidRPr="008B6225" w:rsidRDefault="008B6225" w:rsidP="00A23C45">
            <w:pPr>
              <w:pStyle w:val="tvhtmlmktable"/>
              <w:spacing w:before="0" w:beforeAutospacing="0" w:after="0" w:afterAutospacing="0"/>
              <w:ind w:left="318" w:right="176"/>
              <w:jc w:val="both"/>
              <w:rPr>
                <w:b/>
                <w:bCs/>
                <w:sz w:val="22"/>
                <w:szCs w:val="22"/>
              </w:rPr>
            </w:pPr>
            <w:r w:rsidRPr="008B6225">
              <w:rPr>
                <w:b/>
                <w:bCs/>
                <w:sz w:val="22"/>
                <w:szCs w:val="22"/>
              </w:rPr>
              <w:t xml:space="preserve">1. </w:t>
            </w:r>
            <w:r w:rsidRPr="008B6225">
              <w:rPr>
                <w:b/>
                <w:bCs/>
                <w:caps/>
                <w:sz w:val="22"/>
                <w:szCs w:val="22"/>
              </w:rPr>
              <w:t>Ziņas par kvalifikācijas ieguvēju:</w:t>
            </w:r>
          </w:p>
          <w:p w14:paraId="26FDAAAB" w14:textId="77777777" w:rsidR="008B6225" w:rsidRPr="008B6225" w:rsidRDefault="008B6225" w:rsidP="00A23C45">
            <w:pPr>
              <w:tabs>
                <w:tab w:val="left" w:pos="4320"/>
              </w:tabs>
              <w:ind w:left="601" w:right="175"/>
              <w:jc w:val="both"/>
              <w:rPr>
                <w:b/>
                <w:i/>
                <w:sz w:val="22"/>
                <w:szCs w:val="22"/>
              </w:rPr>
            </w:pPr>
            <w:r w:rsidRPr="008B6225">
              <w:rPr>
                <w:sz w:val="22"/>
                <w:szCs w:val="22"/>
              </w:rPr>
              <w:t>1.1. vārds:</w:t>
            </w:r>
            <w:r w:rsidRPr="008B6225">
              <w:rPr>
                <w:b/>
                <w:i/>
                <w:sz w:val="22"/>
                <w:szCs w:val="22"/>
              </w:rPr>
              <w:t xml:space="preserve"> </w:t>
            </w:r>
          </w:p>
          <w:p w14:paraId="6C892302" w14:textId="77777777" w:rsidR="008B6225" w:rsidRPr="008B6225" w:rsidRDefault="008B6225" w:rsidP="00A23C45">
            <w:pPr>
              <w:tabs>
                <w:tab w:val="left" w:pos="4320"/>
              </w:tabs>
              <w:ind w:left="601" w:right="175"/>
              <w:jc w:val="both"/>
              <w:rPr>
                <w:sz w:val="22"/>
                <w:szCs w:val="22"/>
              </w:rPr>
            </w:pPr>
            <w:r w:rsidRPr="008B6225">
              <w:rPr>
                <w:sz w:val="22"/>
                <w:szCs w:val="22"/>
              </w:rPr>
              <w:t>1.2. uzvārds:</w:t>
            </w:r>
          </w:p>
          <w:p w14:paraId="6410E91A" w14:textId="77777777" w:rsidR="008B6225" w:rsidRPr="008B6225" w:rsidRDefault="008B6225" w:rsidP="00A23C45">
            <w:pPr>
              <w:tabs>
                <w:tab w:val="left" w:pos="4320"/>
              </w:tabs>
              <w:ind w:left="601" w:right="175"/>
              <w:jc w:val="both"/>
              <w:rPr>
                <w:sz w:val="22"/>
                <w:szCs w:val="22"/>
              </w:rPr>
            </w:pPr>
            <w:r w:rsidRPr="008B6225">
              <w:rPr>
                <w:sz w:val="22"/>
                <w:szCs w:val="22"/>
              </w:rPr>
              <w:t xml:space="preserve">1.3. dzimšanas datums </w:t>
            </w:r>
            <w:r w:rsidRPr="008B6225">
              <w:rPr>
                <w:i/>
                <w:sz w:val="22"/>
                <w:szCs w:val="22"/>
              </w:rPr>
              <w:t>(diena/mēnesis/gads)</w:t>
            </w:r>
            <w:r w:rsidRPr="008B6225">
              <w:rPr>
                <w:sz w:val="22"/>
                <w:szCs w:val="22"/>
              </w:rPr>
              <w:t>:</w:t>
            </w:r>
          </w:p>
          <w:p w14:paraId="77CB8181" w14:textId="77777777" w:rsidR="008B6225" w:rsidRPr="008B6225" w:rsidRDefault="008B6225" w:rsidP="00A23C45">
            <w:pPr>
              <w:tabs>
                <w:tab w:val="left" w:pos="4320"/>
              </w:tabs>
              <w:ind w:left="601" w:right="175"/>
              <w:jc w:val="both"/>
              <w:rPr>
                <w:sz w:val="22"/>
                <w:szCs w:val="22"/>
              </w:rPr>
            </w:pPr>
            <w:r w:rsidRPr="008B6225">
              <w:rPr>
                <w:sz w:val="22"/>
                <w:szCs w:val="22"/>
              </w:rPr>
              <w:t>1.4. personas kods:</w:t>
            </w:r>
          </w:p>
          <w:p w14:paraId="553423C1" w14:textId="77777777" w:rsidR="008B6225" w:rsidRPr="008B6225" w:rsidRDefault="008B6225" w:rsidP="00A23C45">
            <w:pPr>
              <w:tabs>
                <w:tab w:val="left" w:pos="4320"/>
              </w:tabs>
              <w:ind w:left="601" w:right="175"/>
              <w:jc w:val="both"/>
              <w:rPr>
                <w:sz w:val="22"/>
                <w:szCs w:val="22"/>
              </w:rPr>
            </w:pPr>
          </w:p>
        </w:tc>
      </w:tr>
      <w:tr w:rsidR="008B6225" w:rsidRPr="008B6225" w14:paraId="57B625BB" w14:textId="77777777" w:rsidTr="00A23C45">
        <w:trPr>
          <w:cantSplit/>
        </w:trPr>
        <w:tc>
          <w:tcPr>
            <w:tcW w:w="10207" w:type="dxa"/>
            <w:tcBorders>
              <w:top w:val="nil"/>
              <w:left w:val="nil"/>
              <w:bottom w:val="nil"/>
              <w:right w:val="nil"/>
            </w:tcBorders>
          </w:tcPr>
          <w:p w14:paraId="2DEC681B" w14:textId="77777777" w:rsidR="008B6225" w:rsidRPr="008B6225" w:rsidRDefault="008B6225" w:rsidP="00A23C45">
            <w:pPr>
              <w:pStyle w:val="tvhtmlmktable"/>
              <w:spacing w:before="0" w:beforeAutospacing="0" w:after="0" w:afterAutospacing="0"/>
              <w:ind w:left="318" w:right="175"/>
              <w:jc w:val="both"/>
              <w:rPr>
                <w:b/>
                <w:bCs/>
                <w:caps/>
                <w:sz w:val="22"/>
                <w:szCs w:val="22"/>
              </w:rPr>
            </w:pPr>
            <w:r w:rsidRPr="008B6225">
              <w:rPr>
                <w:b/>
                <w:bCs/>
                <w:sz w:val="22"/>
                <w:szCs w:val="22"/>
              </w:rPr>
              <w:t xml:space="preserve">2. </w:t>
            </w:r>
            <w:r w:rsidRPr="008B6225">
              <w:rPr>
                <w:b/>
                <w:bCs/>
                <w:caps/>
                <w:sz w:val="22"/>
                <w:szCs w:val="22"/>
              </w:rPr>
              <w:t>Ziņas par PROFESIONĀLAS PILNVEIDES PROGRAMMU:</w:t>
            </w:r>
          </w:p>
          <w:p w14:paraId="6162A734" w14:textId="77777777" w:rsidR="008B6225" w:rsidRPr="008B6225" w:rsidRDefault="008B6225" w:rsidP="00A23C45">
            <w:pPr>
              <w:tabs>
                <w:tab w:val="left" w:pos="4320"/>
              </w:tabs>
              <w:ind w:left="601" w:right="175"/>
              <w:jc w:val="both"/>
              <w:rPr>
                <w:sz w:val="22"/>
                <w:szCs w:val="22"/>
              </w:rPr>
            </w:pPr>
            <w:r w:rsidRPr="008B6225">
              <w:rPr>
                <w:sz w:val="22"/>
                <w:szCs w:val="22"/>
              </w:rPr>
              <w:t>2.1. programmas nosaukums:</w:t>
            </w:r>
          </w:p>
          <w:p w14:paraId="20B5561A" w14:textId="77777777" w:rsidR="008B6225" w:rsidRPr="008B6225" w:rsidRDefault="008B6225" w:rsidP="00A23C45">
            <w:pPr>
              <w:tabs>
                <w:tab w:val="left" w:pos="4320"/>
              </w:tabs>
              <w:ind w:left="601" w:right="175"/>
              <w:jc w:val="both"/>
              <w:rPr>
                <w:sz w:val="22"/>
                <w:szCs w:val="22"/>
              </w:rPr>
            </w:pPr>
            <w:r w:rsidRPr="008B6225">
              <w:rPr>
                <w:sz w:val="22"/>
                <w:szCs w:val="22"/>
              </w:rPr>
              <w:t xml:space="preserve">2.2. programmas īstenošanas institūcijas nosaukums (oriģinālvalodā) un statuss latviešu valodā: </w:t>
            </w:r>
          </w:p>
          <w:p w14:paraId="67B4DF9C" w14:textId="77777777" w:rsidR="008B6225" w:rsidRPr="008B6225" w:rsidRDefault="008B6225" w:rsidP="00A23C45">
            <w:pPr>
              <w:tabs>
                <w:tab w:val="left" w:pos="4320"/>
              </w:tabs>
              <w:ind w:left="601" w:right="175"/>
              <w:jc w:val="both"/>
              <w:rPr>
                <w:sz w:val="22"/>
                <w:szCs w:val="22"/>
              </w:rPr>
            </w:pPr>
            <w:r w:rsidRPr="008B6225">
              <w:rPr>
                <w:sz w:val="22"/>
                <w:szCs w:val="22"/>
              </w:rPr>
              <w:t>2.3. mācību valoda un eksaminācijas valoda(s):</w:t>
            </w:r>
          </w:p>
          <w:p w14:paraId="20F35E68" w14:textId="77777777" w:rsidR="008B6225" w:rsidRPr="008B6225" w:rsidRDefault="008B6225" w:rsidP="00A23C45">
            <w:pPr>
              <w:tabs>
                <w:tab w:val="left" w:pos="4320"/>
              </w:tabs>
              <w:ind w:left="601" w:right="175"/>
              <w:jc w:val="both"/>
              <w:rPr>
                <w:sz w:val="22"/>
                <w:szCs w:val="22"/>
              </w:rPr>
            </w:pPr>
            <w:r w:rsidRPr="008B6225">
              <w:rPr>
                <w:sz w:val="22"/>
                <w:szCs w:val="22"/>
              </w:rPr>
              <w:t xml:space="preserve">2.4. mācību vērtēšanas forma: </w:t>
            </w:r>
          </w:p>
          <w:p w14:paraId="3379837D" w14:textId="77777777" w:rsidR="008B6225" w:rsidRPr="008B6225" w:rsidRDefault="008B6225" w:rsidP="00A23C45">
            <w:pPr>
              <w:tabs>
                <w:tab w:val="left" w:pos="4320"/>
              </w:tabs>
              <w:ind w:left="601" w:right="175"/>
              <w:jc w:val="both"/>
              <w:rPr>
                <w:sz w:val="22"/>
                <w:szCs w:val="22"/>
              </w:rPr>
            </w:pPr>
          </w:p>
        </w:tc>
      </w:tr>
      <w:tr w:rsidR="008B6225" w:rsidRPr="008B6225" w14:paraId="15BFB857" w14:textId="77777777" w:rsidTr="00A23C45">
        <w:trPr>
          <w:cantSplit/>
        </w:trPr>
        <w:tc>
          <w:tcPr>
            <w:tcW w:w="10207" w:type="dxa"/>
            <w:tcBorders>
              <w:top w:val="nil"/>
              <w:left w:val="nil"/>
              <w:bottom w:val="nil"/>
              <w:right w:val="nil"/>
            </w:tcBorders>
          </w:tcPr>
          <w:p w14:paraId="01D2502D" w14:textId="77777777" w:rsidR="008B6225" w:rsidRPr="008B6225" w:rsidRDefault="008B6225" w:rsidP="00A23C45">
            <w:pPr>
              <w:pStyle w:val="tvhtmlmktable"/>
              <w:spacing w:before="0" w:beforeAutospacing="0" w:after="0" w:afterAutospacing="0"/>
              <w:ind w:left="318" w:right="175"/>
              <w:jc w:val="both"/>
              <w:rPr>
                <w:b/>
                <w:bCs/>
                <w:caps/>
                <w:sz w:val="22"/>
                <w:szCs w:val="22"/>
              </w:rPr>
            </w:pPr>
            <w:r w:rsidRPr="008B6225">
              <w:rPr>
                <w:b/>
                <w:bCs/>
                <w:caps/>
                <w:sz w:val="22"/>
                <w:szCs w:val="22"/>
              </w:rPr>
              <w:t>3. Ziņas par kvalifikācijas līmeni:</w:t>
            </w:r>
          </w:p>
          <w:p w14:paraId="7C5A8EA2" w14:textId="77777777" w:rsidR="008B6225" w:rsidRPr="008B6225" w:rsidRDefault="008B6225" w:rsidP="00A23C45">
            <w:pPr>
              <w:tabs>
                <w:tab w:val="left" w:pos="4320"/>
              </w:tabs>
              <w:ind w:left="601" w:right="175"/>
              <w:jc w:val="both"/>
              <w:rPr>
                <w:sz w:val="22"/>
                <w:szCs w:val="22"/>
              </w:rPr>
            </w:pPr>
            <w:r w:rsidRPr="008B6225">
              <w:rPr>
                <w:sz w:val="22"/>
                <w:szCs w:val="22"/>
              </w:rPr>
              <w:t>3.1. Latvijas un Eiropas kvalifikāciju ietvarstruktūras līmenis (LKI): 5/6/7</w:t>
            </w:r>
          </w:p>
          <w:p w14:paraId="391ED736" w14:textId="77777777" w:rsidR="008B6225" w:rsidRPr="008B6225" w:rsidRDefault="008B6225" w:rsidP="00A23C45">
            <w:pPr>
              <w:tabs>
                <w:tab w:val="left" w:pos="4320"/>
              </w:tabs>
              <w:ind w:left="601" w:right="175"/>
              <w:jc w:val="both"/>
              <w:rPr>
                <w:sz w:val="22"/>
                <w:szCs w:val="22"/>
              </w:rPr>
            </w:pPr>
            <w:r w:rsidRPr="008B6225">
              <w:rPr>
                <w:sz w:val="22"/>
                <w:szCs w:val="22"/>
              </w:rPr>
              <w:t>3.2. Latvijas Profesionālās kvalifikācijas līmenis (PKI): 5/6/7</w:t>
            </w:r>
          </w:p>
          <w:p w14:paraId="6F3314D8" w14:textId="77777777" w:rsidR="008B6225" w:rsidRPr="008B6225" w:rsidRDefault="008B6225" w:rsidP="00A23C45">
            <w:pPr>
              <w:tabs>
                <w:tab w:val="left" w:pos="4320"/>
              </w:tabs>
              <w:ind w:left="601" w:right="175"/>
              <w:jc w:val="both"/>
              <w:rPr>
                <w:sz w:val="22"/>
                <w:szCs w:val="22"/>
              </w:rPr>
            </w:pPr>
            <w:r w:rsidRPr="008B6225">
              <w:rPr>
                <w:sz w:val="22"/>
                <w:szCs w:val="22"/>
              </w:rPr>
              <w:t xml:space="preserve">3.3. Programmas oficiālais ilgums (akadēmiskās stundas un/vai kredītpunkti), programmas iegūšanas sākuma un beigu datums: </w:t>
            </w:r>
            <w:r w:rsidRPr="008B6225">
              <w:rPr>
                <w:i/>
                <w:iCs/>
                <w:sz w:val="22"/>
                <w:szCs w:val="22"/>
              </w:rPr>
              <w:t>xxx</w:t>
            </w:r>
            <w:r w:rsidRPr="008B6225">
              <w:rPr>
                <w:sz w:val="22"/>
                <w:szCs w:val="22"/>
              </w:rPr>
              <w:t xml:space="preserve"> ECTS kredītpunkti. Augstākās izglītības studiju virziens </w:t>
            </w:r>
            <w:r w:rsidRPr="008B6225">
              <w:rPr>
                <w:i/>
                <w:iCs/>
                <w:sz w:val="22"/>
                <w:szCs w:val="22"/>
              </w:rPr>
              <w:t>“xxx”,</w:t>
            </w:r>
            <w:r w:rsidRPr="008B6225">
              <w:rPr>
                <w:sz w:val="22"/>
                <w:szCs w:val="22"/>
              </w:rPr>
              <w:t xml:space="preserve"> studiju programma </w:t>
            </w:r>
            <w:r w:rsidRPr="008B6225">
              <w:rPr>
                <w:i/>
                <w:iCs/>
                <w:sz w:val="22"/>
                <w:szCs w:val="22"/>
              </w:rPr>
              <w:t xml:space="preserve">“xxx”; </w:t>
            </w:r>
            <w:r w:rsidRPr="008B6225">
              <w:rPr>
                <w:sz w:val="22"/>
                <w:szCs w:val="22"/>
              </w:rPr>
              <w:t xml:space="preserve">apgūts laika posmā no </w:t>
            </w:r>
            <w:r w:rsidRPr="008B6225">
              <w:rPr>
                <w:i/>
                <w:iCs/>
                <w:sz w:val="22"/>
                <w:szCs w:val="22"/>
              </w:rPr>
              <w:t>dd.mm.gggg.</w:t>
            </w:r>
            <w:r w:rsidRPr="008B6225">
              <w:rPr>
                <w:sz w:val="22"/>
                <w:szCs w:val="22"/>
              </w:rPr>
              <w:t xml:space="preserve"> līdz </w:t>
            </w:r>
            <w:r w:rsidRPr="008B6225">
              <w:rPr>
                <w:i/>
                <w:iCs/>
                <w:sz w:val="22"/>
                <w:szCs w:val="22"/>
              </w:rPr>
              <w:t>dd.mm.gggg.</w:t>
            </w:r>
          </w:p>
          <w:p w14:paraId="15B3A7B2" w14:textId="77777777" w:rsidR="008B6225" w:rsidRPr="008B6225" w:rsidRDefault="008B6225" w:rsidP="00A23C45">
            <w:pPr>
              <w:tabs>
                <w:tab w:val="left" w:pos="4320"/>
              </w:tabs>
              <w:ind w:left="601" w:right="175"/>
              <w:jc w:val="both"/>
              <w:rPr>
                <w:sz w:val="22"/>
                <w:szCs w:val="22"/>
              </w:rPr>
            </w:pPr>
            <w:r w:rsidRPr="008B6225">
              <w:rPr>
                <w:sz w:val="22"/>
                <w:szCs w:val="22"/>
              </w:rPr>
              <w:t xml:space="preserve">3.4. Uzņemšanas prasības (ja attiecināms): </w:t>
            </w:r>
          </w:p>
          <w:p w14:paraId="283509A5" w14:textId="77777777" w:rsidR="008B6225" w:rsidRPr="008B6225" w:rsidRDefault="008B6225" w:rsidP="00A23C45">
            <w:pPr>
              <w:tabs>
                <w:tab w:val="left" w:pos="4320"/>
              </w:tabs>
              <w:ind w:left="601" w:right="175"/>
              <w:jc w:val="both"/>
              <w:rPr>
                <w:sz w:val="22"/>
                <w:szCs w:val="22"/>
              </w:rPr>
            </w:pPr>
          </w:p>
        </w:tc>
      </w:tr>
      <w:tr w:rsidR="008B6225" w:rsidRPr="008B6225" w14:paraId="3378C4A4" w14:textId="77777777" w:rsidTr="00A23C45">
        <w:trPr>
          <w:cantSplit/>
        </w:trPr>
        <w:tc>
          <w:tcPr>
            <w:tcW w:w="10207" w:type="dxa"/>
            <w:tcBorders>
              <w:top w:val="nil"/>
              <w:left w:val="nil"/>
              <w:bottom w:val="nil"/>
              <w:right w:val="nil"/>
            </w:tcBorders>
          </w:tcPr>
          <w:p w14:paraId="770F9A53" w14:textId="77777777" w:rsidR="008B6225" w:rsidRPr="008B6225" w:rsidRDefault="008B6225" w:rsidP="00A23C45">
            <w:pPr>
              <w:pStyle w:val="tvhtmlmktable"/>
              <w:spacing w:before="0" w:beforeAutospacing="0" w:after="0" w:afterAutospacing="0"/>
              <w:ind w:left="318" w:right="175"/>
              <w:jc w:val="both"/>
              <w:rPr>
                <w:b/>
                <w:bCs/>
                <w:caps/>
                <w:sz w:val="22"/>
                <w:szCs w:val="22"/>
              </w:rPr>
            </w:pPr>
            <w:r w:rsidRPr="008B6225">
              <w:rPr>
                <w:b/>
                <w:bCs/>
                <w:caps/>
                <w:sz w:val="22"/>
                <w:szCs w:val="22"/>
              </w:rPr>
              <w:t>4. Ziņas par studiju saturu un rezultātiem:</w:t>
            </w:r>
          </w:p>
          <w:p w14:paraId="2CA04F40" w14:textId="77777777" w:rsidR="008B6225" w:rsidRPr="008B6225" w:rsidRDefault="008B6225" w:rsidP="00A23C45">
            <w:pPr>
              <w:tabs>
                <w:tab w:val="left" w:pos="4320"/>
              </w:tabs>
              <w:ind w:left="601" w:right="175"/>
              <w:jc w:val="both"/>
              <w:rPr>
                <w:bCs/>
                <w:iCs/>
                <w:sz w:val="22"/>
                <w:szCs w:val="22"/>
              </w:rPr>
            </w:pPr>
            <w:r w:rsidRPr="008B6225">
              <w:rPr>
                <w:bCs/>
                <w:iCs/>
                <w:sz w:val="22"/>
                <w:szCs w:val="22"/>
              </w:rPr>
              <w:t>4.1. mācību aktivitāšu forma: Klātienē/neklātiene</w:t>
            </w:r>
          </w:p>
          <w:p w14:paraId="1D0D0FB6" w14:textId="77777777" w:rsidR="008B6225" w:rsidRPr="008B6225" w:rsidRDefault="008B6225" w:rsidP="00A23C45">
            <w:pPr>
              <w:tabs>
                <w:tab w:val="left" w:pos="4320"/>
              </w:tabs>
              <w:ind w:left="601" w:right="175"/>
              <w:jc w:val="both"/>
              <w:rPr>
                <w:bCs/>
                <w:iCs/>
                <w:sz w:val="22"/>
                <w:szCs w:val="22"/>
              </w:rPr>
            </w:pPr>
            <w:r w:rsidRPr="008B6225">
              <w:rPr>
                <w:bCs/>
                <w:iCs/>
                <w:sz w:val="22"/>
                <w:szCs w:val="22"/>
              </w:rPr>
              <w:t xml:space="preserve">4.2. studiju rezultāti (programmas mērķi un </w:t>
            </w:r>
            <w:r w:rsidRPr="008B6225">
              <w:rPr>
                <w:sz w:val="22"/>
                <w:szCs w:val="22"/>
              </w:rPr>
              <w:t>plānotie studiju rezultāti</w:t>
            </w:r>
            <w:r w:rsidRPr="008B6225">
              <w:rPr>
                <w:bCs/>
                <w:iCs/>
                <w:sz w:val="22"/>
                <w:szCs w:val="22"/>
              </w:rPr>
              <w:t>):</w:t>
            </w:r>
          </w:p>
          <w:p w14:paraId="19207B35" w14:textId="77777777" w:rsidR="008B6225" w:rsidRPr="008B6225" w:rsidRDefault="008B6225" w:rsidP="00A23C45">
            <w:pPr>
              <w:tabs>
                <w:tab w:val="left" w:pos="4320"/>
              </w:tabs>
              <w:ind w:left="601" w:right="175"/>
              <w:jc w:val="both"/>
              <w:rPr>
                <w:sz w:val="22"/>
                <w:szCs w:val="22"/>
              </w:rPr>
            </w:pPr>
            <w:r w:rsidRPr="008B6225">
              <w:rPr>
                <w:sz w:val="22"/>
                <w:szCs w:val="22"/>
              </w:rPr>
              <w:t>4.3. programmas sastāvdaļas un personas iegūtais novērtējums/atzīmes/kredītpunkti:</w:t>
            </w:r>
          </w:p>
          <w:p w14:paraId="0E235BAD" w14:textId="77777777" w:rsidR="008B6225" w:rsidRPr="008B6225" w:rsidRDefault="008B6225" w:rsidP="00A23C45">
            <w:pPr>
              <w:tabs>
                <w:tab w:val="left" w:pos="4320"/>
              </w:tabs>
              <w:ind w:left="601" w:right="175"/>
              <w:jc w:val="both"/>
              <w:rPr>
                <w:sz w:val="12"/>
                <w:szCs w:val="12"/>
              </w:rPr>
            </w:pPr>
          </w:p>
          <w:tbl>
            <w:tblPr>
              <w:tblStyle w:val="TableGrid"/>
              <w:tblW w:w="0" w:type="auto"/>
              <w:tblInd w:w="601" w:type="dxa"/>
              <w:tblLook w:val="04A0" w:firstRow="1" w:lastRow="0" w:firstColumn="1" w:lastColumn="0" w:noHBand="0" w:noVBand="1"/>
            </w:tblPr>
            <w:tblGrid>
              <w:gridCol w:w="3327"/>
              <w:gridCol w:w="3327"/>
              <w:gridCol w:w="2554"/>
            </w:tblGrid>
            <w:tr w:rsidR="008B6225" w:rsidRPr="008B6225" w14:paraId="7D57F459" w14:textId="77777777" w:rsidTr="00A23C45">
              <w:tc>
                <w:tcPr>
                  <w:tcW w:w="3327" w:type="dxa"/>
                </w:tcPr>
                <w:p w14:paraId="7D80B0E5" w14:textId="77777777" w:rsidR="008B6225" w:rsidRPr="008B6225" w:rsidRDefault="008B6225" w:rsidP="00A23C45">
                  <w:pPr>
                    <w:tabs>
                      <w:tab w:val="left" w:pos="4320"/>
                    </w:tabs>
                    <w:ind w:right="175"/>
                    <w:jc w:val="both"/>
                    <w:rPr>
                      <w:sz w:val="22"/>
                      <w:szCs w:val="22"/>
                    </w:rPr>
                  </w:pPr>
                  <w:r w:rsidRPr="008B6225">
                    <w:rPr>
                      <w:i/>
                      <w:iCs/>
                      <w:sz w:val="22"/>
                      <w:szCs w:val="22"/>
                    </w:rPr>
                    <w:t>Kursa nosaukums</w:t>
                  </w:r>
                </w:p>
              </w:tc>
              <w:tc>
                <w:tcPr>
                  <w:tcW w:w="3327" w:type="dxa"/>
                </w:tcPr>
                <w:p w14:paraId="4D0F321C" w14:textId="77777777" w:rsidR="008B6225" w:rsidRPr="008B6225" w:rsidRDefault="008B6225" w:rsidP="00A23C45">
                  <w:pPr>
                    <w:tabs>
                      <w:tab w:val="left" w:pos="4320"/>
                    </w:tabs>
                    <w:ind w:right="175"/>
                    <w:jc w:val="both"/>
                    <w:rPr>
                      <w:sz w:val="22"/>
                      <w:szCs w:val="22"/>
                    </w:rPr>
                  </w:pPr>
                  <w:r w:rsidRPr="008B6225">
                    <w:rPr>
                      <w:i/>
                      <w:iCs/>
                      <w:snapToGrid w:val="0"/>
                      <w:sz w:val="22"/>
                      <w:szCs w:val="22"/>
                    </w:rPr>
                    <w:t>ECTS kredīti</w:t>
                  </w:r>
                </w:p>
              </w:tc>
              <w:tc>
                <w:tcPr>
                  <w:tcW w:w="2554" w:type="dxa"/>
                </w:tcPr>
                <w:p w14:paraId="5B022BD2" w14:textId="77777777" w:rsidR="008B6225" w:rsidRPr="008B6225" w:rsidRDefault="008B6225" w:rsidP="00A23C45">
                  <w:pPr>
                    <w:tabs>
                      <w:tab w:val="left" w:pos="2452"/>
                      <w:tab w:val="left" w:pos="4320"/>
                    </w:tabs>
                    <w:ind w:right="175"/>
                    <w:jc w:val="both"/>
                    <w:rPr>
                      <w:sz w:val="22"/>
                      <w:szCs w:val="22"/>
                    </w:rPr>
                  </w:pPr>
                  <w:r w:rsidRPr="008B6225">
                    <w:rPr>
                      <w:i/>
                      <w:iCs/>
                      <w:snapToGrid w:val="0"/>
                      <w:sz w:val="22"/>
                      <w:szCs w:val="22"/>
                    </w:rPr>
                    <w:t>Vērtējums</w:t>
                  </w:r>
                </w:p>
              </w:tc>
            </w:tr>
            <w:tr w:rsidR="008B6225" w:rsidRPr="008B6225" w14:paraId="2F0F0866" w14:textId="77777777" w:rsidTr="00A23C45">
              <w:tc>
                <w:tcPr>
                  <w:tcW w:w="3327" w:type="dxa"/>
                </w:tcPr>
                <w:p w14:paraId="3245EB1A" w14:textId="77777777" w:rsidR="008B6225" w:rsidRPr="008B6225" w:rsidRDefault="008B6225" w:rsidP="00A23C45">
                  <w:pPr>
                    <w:tabs>
                      <w:tab w:val="left" w:pos="4320"/>
                    </w:tabs>
                    <w:ind w:right="175"/>
                    <w:jc w:val="both"/>
                    <w:rPr>
                      <w:sz w:val="22"/>
                      <w:szCs w:val="22"/>
                    </w:rPr>
                  </w:pPr>
                </w:p>
              </w:tc>
              <w:tc>
                <w:tcPr>
                  <w:tcW w:w="3327" w:type="dxa"/>
                </w:tcPr>
                <w:p w14:paraId="3F590628" w14:textId="77777777" w:rsidR="008B6225" w:rsidRPr="008B6225" w:rsidRDefault="008B6225" w:rsidP="00A23C45">
                  <w:pPr>
                    <w:tabs>
                      <w:tab w:val="left" w:pos="4320"/>
                    </w:tabs>
                    <w:ind w:right="175"/>
                    <w:jc w:val="both"/>
                    <w:rPr>
                      <w:sz w:val="22"/>
                      <w:szCs w:val="22"/>
                    </w:rPr>
                  </w:pPr>
                </w:p>
              </w:tc>
              <w:tc>
                <w:tcPr>
                  <w:tcW w:w="2554" w:type="dxa"/>
                </w:tcPr>
                <w:p w14:paraId="554E11D5" w14:textId="77777777" w:rsidR="008B6225" w:rsidRPr="008B6225" w:rsidRDefault="008B6225" w:rsidP="00A23C45">
                  <w:pPr>
                    <w:tabs>
                      <w:tab w:val="left" w:pos="4320"/>
                    </w:tabs>
                    <w:ind w:right="175"/>
                    <w:jc w:val="both"/>
                    <w:rPr>
                      <w:sz w:val="22"/>
                      <w:szCs w:val="22"/>
                    </w:rPr>
                  </w:pPr>
                </w:p>
              </w:tc>
            </w:tr>
            <w:tr w:rsidR="008B6225" w:rsidRPr="008B6225" w14:paraId="5BF87B82" w14:textId="77777777" w:rsidTr="00A23C45">
              <w:tc>
                <w:tcPr>
                  <w:tcW w:w="3327" w:type="dxa"/>
                </w:tcPr>
                <w:p w14:paraId="6EC1F9BC" w14:textId="77777777" w:rsidR="008B6225" w:rsidRPr="008B6225" w:rsidRDefault="008B6225" w:rsidP="00A23C45">
                  <w:pPr>
                    <w:tabs>
                      <w:tab w:val="left" w:pos="4320"/>
                    </w:tabs>
                    <w:ind w:right="175"/>
                    <w:jc w:val="both"/>
                    <w:rPr>
                      <w:sz w:val="22"/>
                      <w:szCs w:val="22"/>
                    </w:rPr>
                  </w:pPr>
                </w:p>
              </w:tc>
              <w:tc>
                <w:tcPr>
                  <w:tcW w:w="3327" w:type="dxa"/>
                </w:tcPr>
                <w:p w14:paraId="2296827B" w14:textId="77777777" w:rsidR="008B6225" w:rsidRPr="008B6225" w:rsidRDefault="008B6225" w:rsidP="00A23C45">
                  <w:pPr>
                    <w:tabs>
                      <w:tab w:val="left" w:pos="4320"/>
                    </w:tabs>
                    <w:ind w:right="175"/>
                    <w:jc w:val="both"/>
                    <w:rPr>
                      <w:sz w:val="22"/>
                      <w:szCs w:val="22"/>
                    </w:rPr>
                  </w:pPr>
                </w:p>
              </w:tc>
              <w:tc>
                <w:tcPr>
                  <w:tcW w:w="2554" w:type="dxa"/>
                </w:tcPr>
                <w:p w14:paraId="031872CB" w14:textId="77777777" w:rsidR="008B6225" w:rsidRPr="008B6225" w:rsidRDefault="008B6225" w:rsidP="00A23C45">
                  <w:pPr>
                    <w:tabs>
                      <w:tab w:val="left" w:pos="4320"/>
                    </w:tabs>
                    <w:ind w:right="175"/>
                    <w:jc w:val="both"/>
                    <w:rPr>
                      <w:sz w:val="22"/>
                      <w:szCs w:val="22"/>
                    </w:rPr>
                  </w:pPr>
                </w:p>
              </w:tc>
            </w:tr>
          </w:tbl>
          <w:p w14:paraId="66A7190C" w14:textId="77777777" w:rsidR="008B6225" w:rsidRPr="008B6225" w:rsidRDefault="008B6225" w:rsidP="00A23C45">
            <w:pPr>
              <w:tabs>
                <w:tab w:val="left" w:pos="4320"/>
              </w:tabs>
              <w:ind w:left="601" w:right="175"/>
              <w:jc w:val="both"/>
              <w:rPr>
                <w:sz w:val="10"/>
                <w:szCs w:val="10"/>
              </w:rPr>
            </w:pPr>
          </w:p>
        </w:tc>
      </w:tr>
      <w:tr w:rsidR="008B6225" w:rsidRPr="008B6225" w14:paraId="4440A8D4" w14:textId="77777777" w:rsidTr="00A23C45">
        <w:trPr>
          <w:cantSplit/>
        </w:trPr>
        <w:tc>
          <w:tcPr>
            <w:tcW w:w="10207" w:type="dxa"/>
            <w:tcBorders>
              <w:top w:val="nil"/>
              <w:left w:val="nil"/>
              <w:bottom w:val="nil"/>
              <w:right w:val="nil"/>
            </w:tcBorders>
          </w:tcPr>
          <w:p w14:paraId="3B1C94E8" w14:textId="77777777" w:rsidR="008B6225" w:rsidRPr="008B6225" w:rsidRDefault="008B6225" w:rsidP="00A23C45">
            <w:pPr>
              <w:pStyle w:val="tvhtmlmktable"/>
              <w:spacing w:before="0" w:beforeAutospacing="0" w:after="0" w:afterAutospacing="0"/>
              <w:ind w:right="175"/>
              <w:jc w:val="both"/>
              <w:rPr>
                <w:caps/>
                <w:sz w:val="12"/>
                <w:szCs w:val="12"/>
              </w:rPr>
            </w:pPr>
          </w:p>
          <w:p w14:paraId="52894D24" w14:textId="77777777" w:rsidR="008B6225" w:rsidRPr="008B6225" w:rsidRDefault="008B6225" w:rsidP="00A23C45">
            <w:pPr>
              <w:tabs>
                <w:tab w:val="left" w:pos="4320"/>
              </w:tabs>
              <w:ind w:left="601" w:right="459"/>
              <w:jc w:val="both"/>
              <w:rPr>
                <w:sz w:val="22"/>
                <w:szCs w:val="22"/>
              </w:rPr>
            </w:pPr>
            <w:r w:rsidRPr="008B6225">
              <w:rPr>
                <w:sz w:val="22"/>
                <w:szCs w:val="22"/>
              </w:rPr>
              <w:t xml:space="preserve">4.4. vērtēšanas sistēma: </w:t>
            </w:r>
            <w:r w:rsidRPr="008B6225">
              <w:rPr>
                <w:i/>
                <w:iCs/>
                <w:sz w:val="22"/>
                <w:szCs w:val="22"/>
              </w:rPr>
              <w:t>studiju rezultātu sasniegšanas pakāpe tiek vērtēta 10 ballu sistēmā vai ar vērtējumu "ieskaitīts/neieskaitīts".</w:t>
            </w:r>
          </w:p>
          <w:p w14:paraId="78613524" w14:textId="77777777" w:rsidR="008B6225" w:rsidRPr="008B6225" w:rsidRDefault="008B6225" w:rsidP="00A23C45">
            <w:pPr>
              <w:pStyle w:val="tvhtmlmktable"/>
              <w:spacing w:before="0" w:beforeAutospacing="0" w:after="0" w:afterAutospacing="0"/>
              <w:ind w:left="318" w:right="175"/>
              <w:jc w:val="both"/>
              <w:rPr>
                <w:caps/>
                <w:sz w:val="22"/>
                <w:szCs w:val="22"/>
              </w:rPr>
            </w:pPr>
          </w:p>
        </w:tc>
      </w:tr>
      <w:tr w:rsidR="008B6225" w:rsidRPr="008B6225" w14:paraId="3F76E141" w14:textId="77777777" w:rsidTr="00A23C45">
        <w:trPr>
          <w:cantSplit/>
        </w:trPr>
        <w:tc>
          <w:tcPr>
            <w:tcW w:w="10207" w:type="dxa"/>
            <w:tcBorders>
              <w:top w:val="nil"/>
              <w:left w:val="nil"/>
              <w:bottom w:val="nil"/>
              <w:right w:val="nil"/>
            </w:tcBorders>
          </w:tcPr>
          <w:p w14:paraId="7F99A581" w14:textId="77777777" w:rsidR="008B6225" w:rsidRPr="008B6225" w:rsidRDefault="008B6225" w:rsidP="00A23C45">
            <w:pPr>
              <w:tabs>
                <w:tab w:val="left" w:pos="4320"/>
              </w:tabs>
              <w:ind w:left="601" w:right="459"/>
              <w:jc w:val="both"/>
              <w:rPr>
                <w:sz w:val="22"/>
                <w:szCs w:val="22"/>
              </w:rPr>
            </w:pPr>
          </w:p>
          <w:p w14:paraId="446F338F" w14:textId="77777777" w:rsidR="008B6225" w:rsidRPr="008B6225" w:rsidRDefault="008B6225" w:rsidP="00A23C45">
            <w:pPr>
              <w:tabs>
                <w:tab w:val="left" w:pos="4320"/>
              </w:tabs>
              <w:ind w:left="601" w:right="174"/>
              <w:jc w:val="both"/>
              <w:rPr>
                <w:i/>
                <w:iCs/>
                <w:sz w:val="22"/>
                <w:szCs w:val="22"/>
              </w:rPr>
            </w:pPr>
          </w:p>
          <w:p w14:paraId="7919CBCA" w14:textId="77777777" w:rsidR="008B6225" w:rsidRPr="008B6225" w:rsidRDefault="008B6225" w:rsidP="00A23C45">
            <w:pPr>
              <w:tabs>
                <w:tab w:val="left" w:pos="4320"/>
              </w:tabs>
              <w:ind w:left="601" w:right="174"/>
              <w:jc w:val="both"/>
              <w:rPr>
                <w:b/>
                <w:bCs/>
                <w:i/>
                <w:iCs/>
                <w:sz w:val="22"/>
                <w:szCs w:val="22"/>
              </w:rPr>
            </w:pPr>
            <w:r w:rsidRPr="008B6225">
              <w:rPr>
                <w:b/>
                <w:bCs/>
                <w:i/>
                <w:iCs/>
                <w:sz w:val="22"/>
                <w:szCs w:val="22"/>
              </w:rPr>
              <w:t>Studiju rezultātu apguves vērtējums 10 ballēs:</w:t>
            </w:r>
          </w:p>
          <w:tbl>
            <w:tblPr>
              <w:tblW w:w="4439" w:type="pct"/>
              <w:tblInd w:w="631"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201"/>
              <w:gridCol w:w="1273"/>
              <w:gridCol w:w="3989"/>
              <w:gridCol w:w="2393"/>
            </w:tblGrid>
            <w:tr w:rsidR="008B6225" w:rsidRPr="008B6225" w14:paraId="6A5033EB" w14:textId="77777777" w:rsidTr="00A23C45">
              <w:tc>
                <w:tcPr>
                  <w:tcW w:w="67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ABF23A"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r w:rsidRPr="008B6225">
                    <w:rPr>
                      <w:rFonts w:ascii="Times New Roman" w:hAnsi="Times New Roman" w:cs="Times New Roman"/>
                      <w:i/>
                      <w:iCs/>
                      <w:lang w:eastAsia="lv-LV"/>
                    </w:rPr>
                    <w:t>Apguves līmenis</w:t>
                  </w: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787FFF"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Vērtējums</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D34D40"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Skaidrojums</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477494"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Aptuvenā ECTS atzīme</w:t>
                  </w:r>
                </w:p>
              </w:tc>
            </w:tr>
            <w:tr w:rsidR="008B6225" w:rsidRPr="008B6225" w14:paraId="0C4B2A1E" w14:textId="77777777" w:rsidTr="00A23C45">
              <w:tc>
                <w:tcPr>
                  <w:tcW w:w="67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E4BCA1"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r w:rsidRPr="008B6225">
                    <w:rPr>
                      <w:rFonts w:ascii="Times New Roman" w:hAnsi="Times New Roman" w:cs="Times New Roman"/>
                      <w:i/>
                      <w:iCs/>
                      <w:lang w:eastAsia="lv-LV"/>
                    </w:rPr>
                    <w:t>ļoti augsts</w:t>
                  </w: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25226F"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10</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A6F423" w14:textId="77777777" w:rsidR="008B6225" w:rsidRPr="008B6225" w:rsidRDefault="008B6225" w:rsidP="00A23C45">
                  <w:pPr>
                    <w:tabs>
                      <w:tab w:val="left" w:pos="4320"/>
                    </w:tabs>
                    <w:ind w:right="174"/>
                    <w:jc w:val="both"/>
                    <w:rPr>
                      <w:rFonts w:ascii="Times New Roman" w:hAnsi="Times New Roman" w:cs="Times New Roman"/>
                      <w:i/>
                      <w:iCs/>
                      <w:lang w:eastAsia="lv-LV"/>
                    </w:rPr>
                  </w:pPr>
                  <w:r w:rsidRPr="008B6225">
                    <w:rPr>
                      <w:rFonts w:ascii="Times New Roman" w:hAnsi="Times New Roman" w:cs="Times New Roman"/>
                      <w:i/>
                      <w:iCs/>
                      <w:lang w:eastAsia="lv-LV"/>
                    </w:rPr>
                    <w:t>izcili (with distinction)</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F0A733"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A</w:t>
                  </w:r>
                </w:p>
              </w:tc>
            </w:tr>
            <w:tr w:rsidR="008B6225" w:rsidRPr="008B6225" w14:paraId="413AA5E9" w14:textId="77777777" w:rsidTr="00A23C45">
              <w:tc>
                <w:tcPr>
                  <w:tcW w:w="67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9B8B87"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449095"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9</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6B9C76" w14:textId="77777777" w:rsidR="008B6225" w:rsidRPr="008B6225" w:rsidRDefault="008B6225" w:rsidP="00A23C45">
                  <w:pPr>
                    <w:tabs>
                      <w:tab w:val="left" w:pos="4320"/>
                    </w:tabs>
                    <w:ind w:right="174"/>
                    <w:jc w:val="both"/>
                    <w:rPr>
                      <w:rFonts w:ascii="Times New Roman" w:hAnsi="Times New Roman" w:cs="Times New Roman"/>
                      <w:i/>
                      <w:iCs/>
                      <w:lang w:eastAsia="lv-LV"/>
                    </w:rPr>
                  </w:pPr>
                  <w:r w:rsidRPr="008B6225">
                    <w:rPr>
                      <w:rFonts w:ascii="Times New Roman" w:hAnsi="Times New Roman" w:cs="Times New Roman"/>
                      <w:i/>
                      <w:iCs/>
                      <w:lang w:eastAsia="lv-LV"/>
                    </w:rPr>
                    <w:t>teicami (excellent)</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5E5047"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A</w:t>
                  </w:r>
                </w:p>
              </w:tc>
            </w:tr>
            <w:tr w:rsidR="008B6225" w:rsidRPr="008B6225" w14:paraId="4B8F31F7" w14:textId="77777777" w:rsidTr="00A23C45">
              <w:tc>
                <w:tcPr>
                  <w:tcW w:w="67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FBA7A0"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r w:rsidRPr="008B6225">
                    <w:rPr>
                      <w:rFonts w:ascii="Times New Roman" w:hAnsi="Times New Roman" w:cs="Times New Roman"/>
                      <w:i/>
                      <w:iCs/>
                      <w:lang w:eastAsia="lv-LV"/>
                    </w:rPr>
                    <w:t>augsts</w:t>
                  </w: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5A5FA5"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8</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141176" w14:textId="77777777" w:rsidR="008B6225" w:rsidRPr="008B6225" w:rsidRDefault="008B6225" w:rsidP="00A23C45">
                  <w:pPr>
                    <w:tabs>
                      <w:tab w:val="left" w:pos="4320"/>
                    </w:tabs>
                    <w:ind w:right="174"/>
                    <w:jc w:val="both"/>
                    <w:rPr>
                      <w:rFonts w:ascii="Times New Roman" w:hAnsi="Times New Roman" w:cs="Times New Roman"/>
                      <w:i/>
                      <w:iCs/>
                      <w:lang w:eastAsia="lv-LV"/>
                    </w:rPr>
                  </w:pPr>
                  <w:r w:rsidRPr="008B6225">
                    <w:rPr>
                      <w:rFonts w:ascii="Times New Roman" w:hAnsi="Times New Roman" w:cs="Times New Roman"/>
                      <w:i/>
                      <w:iCs/>
                      <w:lang w:eastAsia="lv-LV"/>
                    </w:rPr>
                    <w:t>ļoti labi (very good)</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EEC884"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B</w:t>
                  </w:r>
                </w:p>
              </w:tc>
            </w:tr>
            <w:tr w:rsidR="008B6225" w:rsidRPr="008B6225" w14:paraId="4F2CFD81" w14:textId="77777777" w:rsidTr="00A23C45">
              <w:tc>
                <w:tcPr>
                  <w:tcW w:w="67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7CAB8B"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CDD307"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7</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25A415" w14:textId="77777777" w:rsidR="008B6225" w:rsidRPr="008B6225" w:rsidRDefault="008B6225" w:rsidP="00A23C45">
                  <w:pPr>
                    <w:tabs>
                      <w:tab w:val="left" w:pos="4320"/>
                    </w:tabs>
                    <w:ind w:right="174"/>
                    <w:jc w:val="both"/>
                    <w:rPr>
                      <w:rFonts w:ascii="Times New Roman" w:hAnsi="Times New Roman" w:cs="Times New Roman"/>
                      <w:i/>
                      <w:iCs/>
                      <w:lang w:eastAsia="lv-LV"/>
                    </w:rPr>
                  </w:pPr>
                  <w:r w:rsidRPr="008B6225">
                    <w:rPr>
                      <w:rFonts w:ascii="Times New Roman" w:hAnsi="Times New Roman" w:cs="Times New Roman"/>
                      <w:i/>
                      <w:iCs/>
                      <w:lang w:eastAsia="lv-LV"/>
                    </w:rPr>
                    <w:t>labi (good)</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14B33C"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C</w:t>
                  </w:r>
                </w:p>
              </w:tc>
            </w:tr>
            <w:tr w:rsidR="008B6225" w:rsidRPr="008B6225" w14:paraId="57C3735C" w14:textId="77777777" w:rsidTr="00A23C45">
              <w:tc>
                <w:tcPr>
                  <w:tcW w:w="67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062F9C"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r w:rsidRPr="008B6225">
                    <w:rPr>
                      <w:rFonts w:ascii="Times New Roman" w:hAnsi="Times New Roman" w:cs="Times New Roman"/>
                      <w:i/>
                      <w:iCs/>
                      <w:lang w:eastAsia="lv-LV"/>
                    </w:rPr>
                    <w:t>vidējs</w:t>
                  </w: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5D1CCE"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6</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270052" w14:textId="77777777" w:rsidR="008B6225" w:rsidRPr="008B6225" w:rsidRDefault="008B6225" w:rsidP="00A23C45">
                  <w:pPr>
                    <w:tabs>
                      <w:tab w:val="left" w:pos="4320"/>
                    </w:tabs>
                    <w:ind w:right="174"/>
                    <w:jc w:val="both"/>
                    <w:rPr>
                      <w:rFonts w:ascii="Times New Roman" w:hAnsi="Times New Roman" w:cs="Times New Roman"/>
                      <w:i/>
                      <w:iCs/>
                      <w:lang w:eastAsia="lv-LV"/>
                    </w:rPr>
                  </w:pPr>
                  <w:r w:rsidRPr="008B6225">
                    <w:rPr>
                      <w:rFonts w:ascii="Times New Roman" w:hAnsi="Times New Roman" w:cs="Times New Roman"/>
                      <w:i/>
                      <w:iCs/>
                      <w:lang w:eastAsia="lv-LV"/>
                    </w:rPr>
                    <w:t>gandrīz labi (almost good)</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4442CC"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D</w:t>
                  </w:r>
                </w:p>
              </w:tc>
            </w:tr>
            <w:tr w:rsidR="008B6225" w:rsidRPr="008B6225" w14:paraId="3BF55A57" w14:textId="77777777" w:rsidTr="00A23C45">
              <w:tc>
                <w:tcPr>
                  <w:tcW w:w="67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2D75CE"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0D0A18"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5</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4925A4" w14:textId="77777777" w:rsidR="008B6225" w:rsidRPr="008B6225" w:rsidRDefault="008B6225" w:rsidP="00A23C45">
                  <w:pPr>
                    <w:tabs>
                      <w:tab w:val="left" w:pos="4320"/>
                    </w:tabs>
                    <w:ind w:right="174"/>
                    <w:jc w:val="both"/>
                    <w:rPr>
                      <w:rFonts w:ascii="Times New Roman" w:hAnsi="Times New Roman" w:cs="Times New Roman"/>
                      <w:i/>
                      <w:iCs/>
                      <w:lang w:eastAsia="lv-LV"/>
                    </w:rPr>
                  </w:pPr>
                  <w:r w:rsidRPr="008B6225">
                    <w:rPr>
                      <w:rFonts w:ascii="Times New Roman" w:hAnsi="Times New Roman" w:cs="Times New Roman"/>
                      <w:i/>
                      <w:iCs/>
                      <w:lang w:eastAsia="lv-LV"/>
                    </w:rPr>
                    <w:t>viduvēji (satisfactory)</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5F49A"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E</w:t>
                  </w:r>
                </w:p>
              </w:tc>
            </w:tr>
            <w:tr w:rsidR="008B6225" w:rsidRPr="008B6225" w14:paraId="0EC82153" w14:textId="77777777" w:rsidTr="00A23C45">
              <w:tc>
                <w:tcPr>
                  <w:tcW w:w="67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977D64"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B2519A"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4</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F1467A" w14:textId="77777777" w:rsidR="008B6225" w:rsidRPr="008B6225" w:rsidRDefault="008B6225" w:rsidP="00A23C45">
                  <w:pPr>
                    <w:tabs>
                      <w:tab w:val="left" w:pos="4320"/>
                    </w:tabs>
                    <w:ind w:right="174"/>
                    <w:jc w:val="both"/>
                    <w:rPr>
                      <w:rFonts w:ascii="Times New Roman" w:hAnsi="Times New Roman" w:cs="Times New Roman"/>
                      <w:i/>
                      <w:iCs/>
                      <w:lang w:eastAsia="lv-LV"/>
                    </w:rPr>
                  </w:pPr>
                  <w:r w:rsidRPr="008B6225">
                    <w:rPr>
                      <w:rFonts w:ascii="Times New Roman" w:hAnsi="Times New Roman" w:cs="Times New Roman"/>
                      <w:i/>
                      <w:iCs/>
                      <w:lang w:eastAsia="lv-LV"/>
                    </w:rPr>
                    <w:t>gandrīz viduvēji (almost satisfactory)</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29A5BD"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E/FX</w:t>
                  </w:r>
                </w:p>
              </w:tc>
            </w:tr>
            <w:tr w:rsidR="008B6225" w:rsidRPr="008B6225" w14:paraId="7BA898E1" w14:textId="77777777" w:rsidTr="00A23C45">
              <w:tc>
                <w:tcPr>
                  <w:tcW w:w="67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B32294" w14:textId="77777777" w:rsidR="008B6225" w:rsidRPr="008B6225" w:rsidRDefault="008B6225" w:rsidP="00A23C45">
                  <w:pPr>
                    <w:tabs>
                      <w:tab w:val="left" w:pos="4320"/>
                    </w:tabs>
                    <w:ind w:left="33" w:right="174"/>
                    <w:jc w:val="center"/>
                    <w:rPr>
                      <w:rFonts w:ascii="Times New Roman" w:hAnsi="Times New Roman" w:cs="Times New Roman"/>
                      <w:i/>
                      <w:iCs/>
                      <w:lang w:eastAsia="lv-LV"/>
                    </w:rPr>
                  </w:pPr>
                  <w:r w:rsidRPr="008B6225">
                    <w:rPr>
                      <w:rFonts w:ascii="Times New Roman" w:hAnsi="Times New Roman" w:cs="Times New Roman"/>
                      <w:i/>
                      <w:iCs/>
                      <w:lang w:eastAsia="lv-LV"/>
                    </w:rPr>
                    <w:t>zems</w:t>
                  </w:r>
                </w:p>
              </w:tc>
              <w:tc>
                <w:tcPr>
                  <w:tcW w:w="7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424ECD" w14:textId="77777777" w:rsidR="008B6225" w:rsidRPr="008B6225" w:rsidRDefault="008B6225" w:rsidP="00A23C45">
                  <w:pPr>
                    <w:tabs>
                      <w:tab w:val="left" w:pos="4320"/>
                    </w:tabs>
                    <w:ind w:right="174"/>
                    <w:jc w:val="center"/>
                    <w:rPr>
                      <w:rFonts w:ascii="Times New Roman" w:hAnsi="Times New Roman" w:cs="Times New Roman"/>
                      <w:i/>
                      <w:iCs/>
                      <w:lang w:eastAsia="lv-LV"/>
                    </w:rPr>
                  </w:pPr>
                  <w:r w:rsidRPr="008B6225">
                    <w:rPr>
                      <w:rFonts w:ascii="Times New Roman" w:hAnsi="Times New Roman" w:cs="Times New Roman"/>
                      <w:i/>
                      <w:iCs/>
                      <w:lang w:eastAsia="lv-LV"/>
                    </w:rPr>
                    <w:t>3–1</w:t>
                  </w:r>
                </w:p>
              </w:tc>
              <w:tc>
                <w:tcPr>
                  <w:tcW w:w="22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D5C970" w14:textId="77777777" w:rsidR="008B6225" w:rsidRPr="008B6225" w:rsidRDefault="008B6225" w:rsidP="00A23C45">
                  <w:pPr>
                    <w:tabs>
                      <w:tab w:val="left" w:pos="4320"/>
                    </w:tabs>
                    <w:ind w:right="174"/>
                    <w:jc w:val="both"/>
                    <w:rPr>
                      <w:rFonts w:ascii="Times New Roman" w:hAnsi="Times New Roman" w:cs="Times New Roman"/>
                      <w:i/>
                      <w:iCs/>
                      <w:lang w:eastAsia="lv-LV"/>
                    </w:rPr>
                  </w:pPr>
                  <w:r w:rsidRPr="008B6225">
                    <w:rPr>
                      <w:rFonts w:ascii="Times New Roman" w:hAnsi="Times New Roman" w:cs="Times New Roman"/>
                      <w:i/>
                      <w:iCs/>
                      <w:lang w:eastAsia="lv-LV"/>
                    </w:rPr>
                    <w:t>negatīvs vērtējums (unsatisfactory)</w:t>
                  </w:r>
                </w:p>
              </w:tc>
              <w:tc>
                <w:tcPr>
                  <w:tcW w:w="13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9DCC03" w14:textId="77777777" w:rsidR="008B6225" w:rsidRPr="008B6225" w:rsidRDefault="008B6225" w:rsidP="00A23C45">
                  <w:pPr>
                    <w:tabs>
                      <w:tab w:val="left" w:pos="4320"/>
                    </w:tabs>
                    <w:ind w:left="113" w:right="174"/>
                    <w:jc w:val="center"/>
                    <w:rPr>
                      <w:rFonts w:ascii="Times New Roman" w:hAnsi="Times New Roman" w:cs="Times New Roman"/>
                      <w:i/>
                      <w:iCs/>
                      <w:lang w:eastAsia="lv-LV"/>
                    </w:rPr>
                  </w:pPr>
                  <w:r w:rsidRPr="008B6225">
                    <w:rPr>
                      <w:rFonts w:ascii="Times New Roman" w:hAnsi="Times New Roman" w:cs="Times New Roman"/>
                      <w:i/>
                      <w:iCs/>
                      <w:lang w:eastAsia="lv-LV"/>
                    </w:rPr>
                    <w:t>Fail</w:t>
                  </w:r>
                </w:p>
              </w:tc>
            </w:tr>
          </w:tbl>
          <w:p w14:paraId="0DFDF171" w14:textId="77777777" w:rsidR="008B6225" w:rsidRPr="008B6225" w:rsidRDefault="008B6225" w:rsidP="00A23C45">
            <w:pPr>
              <w:tabs>
                <w:tab w:val="left" w:pos="4320"/>
              </w:tabs>
              <w:ind w:left="71" w:right="174"/>
              <w:jc w:val="both"/>
              <w:rPr>
                <w:b/>
                <w:bCs/>
                <w:i/>
                <w:iCs/>
                <w:sz w:val="22"/>
                <w:szCs w:val="22"/>
              </w:rPr>
            </w:pPr>
          </w:p>
          <w:p w14:paraId="62243FB6" w14:textId="77777777" w:rsidR="008B6225" w:rsidRPr="008B6225" w:rsidRDefault="008B6225" w:rsidP="00A23C45">
            <w:pPr>
              <w:tabs>
                <w:tab w:val="left" w:pos="4320"/>
              </w:tabs>
              <w:ind w:left="639" w:right="174"/>
              <w:jc w:val="both"/>
              <w:rPr>
                <w:i/>
                <w:iCs/>
                <w:sz w:val="22"/>
                <w:szCs w:val="22"/>
              </w:rPr>
            </w:pPr>
            <w:r w:rsidRPr="008B6225">
              <w:rPr>
                <w:b/>
                <w:bCs/>
                <w:i/>
                <w:iCs/>
                <w:sz w:val="22"/>
                <w:szCs w:val="22"/>
              </w:rPr>
              <w:t>Kvalitātes nodrošināšana.</w:t>
            </w:r>
            <w:r w:rsidRPr="008B6225">
              <w:rPr>
                <w:i/>
                <w:iCs/>
                <w:sz w:val="22"/>
                <w:szCs w:val="22"/>
              </w:rPr>
              <w:t> Saskaņā ar Latvijas normatīvajiem aktiem augstskolas un koledžas var izsniegt valsts atzītus diplomus, ja studijas ir notikušas akreditētā augstskolā vai koledžā akreditētā studiju programmā. Lēmumu par studiju virzienu akreditāciju pieņem Studiju kvalitātes komisija, bet par augstskolas un koledžas akreditāciju – Augstākās izglītības padome.</w:t>
            </w:r>
          </w:p>
          <w:p w14:paraId="23AD03C8" w14:textId="77777777" w:rsidR="008B6225" w:rsidRPr="008B6225" w:rsidRDefault="008B6225" w:rsidP="00A23C45">
            <w:pPr>
              <w:tabs>
                <w:tab w:val="left" w:pos="4320"/>
              </w:tabs>
              <w:ind w:left="639" w:right="174"/>
              <w:jc w:val="both"/>
              <w:rPr>
                <w:i/>
                <w:iCs/>
                <w:sz w:val="22"/>
                <w:szCs w:val="22"/>
              </w:rPr>
            </w:pPr>
          </w:p>
        </w:tc>
      </w:tr>
      <w:tr w:rsidR="008B6225" w:rsidRPr="008B6225" w14:paraId="4314249E" w14:textId="77777777" w:rsidTr="00A23C45">
        <w:trPr>
          <w:cantSplit/>
        </w:trPr>
        <w:tc>
          <w:tcPr>
            <w:tcW w:w="10207" w:type="dxa"/>
            <w:tcBorders>
              <w:top w:val="nil"/>
              <w:left w:val="nil"/>
              <w:bottom w:val="nil"/>
              <w:right w:val="nil"/>
            </w:tcBorders>
          </w:tcPr>
          <w:p w14:paraId="4EAC4D09" w14:textId="77777777" w:rsidR="008B6225" w:rsidRPr="008B6225" w:rsidRDefault="008B6225" w:rsidP="00A23C45">
            <w:pPr>
              <w:tabs>
                <w:tab w:val="left" w:pos="4320"/>
              </w:tabs>
              <w:ind w:left="601" w:right="459"/>
              <w:jc w:val="both"/>
              <w:rPr>
                <w:sz w:val="22"/>
                <w:szCs w:val="22"/>
              </w:rPr>
            </w:pPr>
          </w:p>
        </w:tc>
      </w:tr>
      <w:tr w:rsidR="008B6225" w:rsidRPr="008B6225" w14:paraId="3568DEA1" w14:textId="77777777" w:rsidTr="00A23C45">
        <w:trPr>
          <w:cantSplit/>
        </w:trPr>
        <w:tc>
          <w:tcPr>
            <w:tcW w:w="10207" w:type="dxa"/>
            <w:tcBorders>
              <w:top w:val="nil"/>
              <w:left w:val="nil"/>
              <w:bottom w:val="nil"/>
              <w:right w:val="nil"/>
            </w:tcBorders>
          </w:tcPr>
          <w:p w14:paraId="76CD8CC6" w14:textId="77777777" w:rsidR="008B6225" w:rsidRPr="008B6225" w:rsidRDefault="008B6225" w:rsidP="00A23C45">
            <w:pPr>
              <w:pStyle w:val="tvhtmlmktable"/>
              <w:spacing w:before="0" w:beforeAutospacing="0" w:after="0" w:afterAutospacing="0"/>
              <w:ind w:left="318" w:right="176"/>
              <w:jc w:val="both"/>
              <w:rPr>
                <w:b/>
                <w:bCs/>
                <w:caps/>
                <w:sz w:val="22"/>
                <w:szCs w:val="22"/>
              </w:rPr>
            </w:pPr>
            <w:r w:rsidRPr="008B6225">
              <w:rPr>
                <w:b/>
                <w:bCs/>
                <w:caps/>
                <w:sz w:val="22"/>
                <w:szCs w:val="22"/>
              </w:rPr>
              <w:t>5. Papildinformācija UN TĀS AVOTI:</w:t>
            </w:r>
          </w:p>
          <w:p w14:paraId="469E7DCB" w14:textId="77777777" w:rsidR="008B6225" w:rsidRPr="008B6225" w:rsidRDefault="008B6225" w:rsidP="00A23C45">
            <w:pPr>
              <w:tabs>
                <w:tab w:val="left" w:pos="4320"/>
              </w:tabs>
              <w:ind w:left="601" w:right="459"/>
              <w:jc w:val="both"/>
              <w:rPr>
                <w:b/>
                <w:i/>
                <w:sz w:val="22"/>
                <w:szCs w:val="22"/>
              </w:rPr>
            </w:pPr>
            <w:r w:rsidRPr="008B6225">
              <w:rPr>
                <w:sz w:val="22"/>
                <w:szCs w:val="22"/>
              </w:rPr>
              <w:t xml:space="preserve">5.1. </w:t>
            </w:r>
            <w:r w:rsidRPr="008B6225">
              <w:rPr>
                <w:bCs/>
                <w:iCs/>
                <w:noProof/>
                <w:sz w:val="22"/>
                <w:szCs w:val="22"/>
              </w:rPr>
              <w:t>apliecības pielikums</w:t>
            </w:r>
            <w:r w:rsidRPr="008B6225">
              <w:rPr>
                <w:bCs/>
                <w:iCs/>
                <w:sz w:val="22"/>
                <w:szCs w:val="22"/>
              </w:rPr>
              <w:t xml:space="preserve"> ir derīgs tikai kopā ar </w:t>
            </w:r>
            <w:r w:rsidRPr="008B6225">
              <w:rPr>
                <w:b/>
                <w:iCs/>
                <w:sz w:val="22"/>
                <w:szCs w:val="22"/>
              </w:rPr>
              <w:t>apliecību Nr. xxx.</w:t>
            </w:r>
          </w:p>
          <w:p w14:paraId="494CA3F2" w14:textId="77777777" w:rsidR="008B6225" w:rsidRPr="008B6225" w:rsidRDefault="008B6225" w:rsidP="00A23C45">
            <w:pPr>
              <w:tabs>
                <w:tab w:val="left" w:pos="4320"/>
              </w:tabs>
              <w:ind w:left="601" w:right="459"/>
              <w:jc w:val="both"/>
              <w:rPr>
                <w:i/>
                <w:iCs/>
                <w:sz w:val="22"/>
                <w:szCs w:val="22"/>
              </w:rPr>
            </w:pPr>
            <w:r w:rsidRPr="008B6225">
              <w:rPr>
                <w:bCs/>
                <w:iCs/>
                <w:sz w:val="22"/>
                <w:szCs w:val="22"/>
              </w:rPr>
              <w:t xml:space="preserve">5.2. </w:t>
            </w:r>
            <w:r w:rsidRPr="008B6225">
              <w:rPr>
                <w:sz w:val="22"/>
                <w:szCs w:val="22"/>
              </w:rPr>
              <w:t xml:space="preserve">Augstākās izglītības studiju virziens </w:t>
            </w:r>
            <w:r w:rsidRPr="008B6225">
              <w:rPr>
                <w:i/>
                <w:iCs/>
                <w:sz w:val="22"/>
                <w:szCs w:val="22"/>
              </w:rPr>
              <w:t>“xxx”</w:t>
            </w:r>
            <w:r w:rsidRPr="008B6225">
              <w:rPr>
                <w:sz w:val="22"/>
                <w:szCs w:val="22"/>
              </w:rPr>
              <w:t xml:space="preserve"> ir akreditēts no </w:t>
            </w:r>
            <w:r w:rsidRPr="008B6225">
              <w:rPr>
                <w:i/>
                <w:iCs/>
                <w:sz w:val="22"/>
                <w:szCs w:val="22"/>
              </w:rPr>
              <w:t>dd.mm.gggg.</w:t>
            </w:r>
            <w:r w:rsidRPr="008B6225">
              <w:rPr>
                <w:sz w:val="22"/>
                <w:szCs w:val="22"/>
              </w:rPr>
              <w:t xml:space="preserve"> līdz </w:t>
            </w:r>
            <w:r w:rsidRPr="008B6225">
              <w:rPr>
                <w:i/>
                <w:iCs/>
                <w:sz w:val="22"/>
                <w:szCs w:val="22"/>
              </w:rPr>
              <w:t>dd.mm.gggg.</w:t>
            </w:r>
          </w:p>
          <w:p w14:paraId="1C3A5488" w14:textId="77777777" w:rsidR="008B6225" w:rsidRPr="008B6225" w:rsidRDefault="008B6225" w:rsidP="00A23C45">
            <w:pPr>
              <w:pStyle w:val="tvhtmlmktable"/>
              <w:spacing w:before="0" w:beforeAutospacing="0" w:after="0" w:afterAutospacing="0"/>
              <w:ind w:left="601"/>
              <w:jc w:val="both"/>
              <w:rPr>
                <w:sz w:val="22"/>
                <w:szCs w:val="22"/>
              </w:rPr>
            </w:pPr>
            <w:r w:rsidRPr="008B6225">
              <w:rPr>
                <w:sz w:val="22"/>
                <w:szCs w:val="22"/>
              </w:rPr>
              <w:t xml:space="preserve">5.3. papildinformācijas avoti: </w:t>
            </w:r>
          </w:p>
          <w:p w14:paraId="04C9A22D" w14:textId="77777777" w:rsidR="008B6225" w:rsidRPr="008B6225" w:rsidRDefault="008B6225" w:rsidP="00A23C45">
            <w:pPr>
              <w:pStyle w:val="tvhtmlmktable"/>
              <w:spacing w:before="0" w:beforeAutospacing="0" w:after="0" w:afterAutospacing="0"/>
              <w:ind w:left="601"/>
              <w:jc w:val="both"/>
              <w:rPr>
                <w:sz w:val="22"/>
                <w:szCs w:val="22"/>
              </w:rPr>
            </w:pPr>
          </w:p>
          <w:p w14:paraId="465F57BD" w14:textId="77777777" w:rsidR="008B6225" w:rsidRPr="008B6225" w:rsidRDefault="008B6225" w:rsidP="00A23C45">
            <w:pPr>
              <w:pStyle w:val="tvhtmlmktable"/>
              <w:spacing w:before="0" w:beforeAutospacing="0" w:after="0" w:afterAutospacing="0"/>
              <w:ind w:left="601"/>
              <w:jc w:val="both"/>
              <w:rPr>
                <w:b/>
                <w:i/>
                <w:sz w:val="22"/>
                <w:szCs w:val="22"/>
              </w:rPr>
            </w:pPr>
            <w:r w:rsidRPr="008B6225">
              <w:rPr>
                <w:b/>
                <w:i/>
                <w:sz w:val="22"/>
                <w:szCs w:val="22"/>
              </w:rPr>
              <w:t xml:space="preserve">Augstākās izglītības iestādes nosaukums, juridiskā adrese, tel.Nr., e-pasts, interneta vietne </w:t>
            </w:r>
          </w:p>
          <w:p w14:paraId="52B5BAC3" w14:textId="77777777" w:rsidR="008B6225" w:rsidRPr="008B6225" w:rsidRDefault="008B6225" w:rsidP="00A23C45">
            <w:pPr>
              <w:tabs>
                <w:tab w:val="left" w:pos="4320"/>
              </w:tabs>
              <w:ind w:left="601" w:right="459"/>
              <w:jc w:val="both"/>
              <w:rPr>
                <w:sz w:val="22"/>
                <w:szCs w:val="22"/>
              </w:rPr>
            </w:pPr>
          </w:p>
          <w:p w14:paraId="20CAA129" w14:textId="77777777" w:rsidR="008B6225" w:rsidRPr="008B6225" w:rsidRDefault="008B6225" w:rsidP="00A23C45">
            <w:pPr>
              <w:tabs>
                <w:tab w:val="left" w:pos="4320"/>
              </w:tabs>
              <w:ind w:left="601" w:right="459"/>
              <w:jc w:val="both"/>
              <w:rPr>
                <w:sz w:val="22"/>
                <w:szCs w:val="22"/>
              </w:rPr>
            </w:pPr>
            <w:r w:rsidRPr="008B6225">
              <w:rPr>
                <w:b/>
                <w:i/>
                <w:sz w:val="22"/>
                <w:szCs w:val="22"/>
              </w:rPr>
              <w:t>Akadēmiskās Informācijas centrs (Latvijas ENIC/NARIC),</w:t>
            </w:r>
            <w:r w:rsidRPr="008B6225">
              <w:rPr>
                <w:b/>
                <w:i/>
                <w:sz w:val="22"/>
                <w:szCs w:val="22"/>
              </w:rPr>
              <w:br/>
              <w:t xml:space="preserve">Vaļņu iela 2, Rīga, Latvija, LV1050, telefons.: +37167225155, </w:t>
            </w:r>
            <w:smartTag w:uri="schemas-tilde-lv/tildestengine" w:element="veidnes">
              <w:smartTagPr>
                <w:attr w:name="text" w:val="fakss"/>
                <w:attr w:name="baseform" w:val="fakss"/>
                <w:attr w:name="id" w:val="-1"/>
              </w:smartTagPr>
              <w:r w:rsidRPr="008B6225">
                <w:rPr>
                  <w:b/>
                  <w:i/>
                  <w:sz w:val="22"/>
                  <w:szCs w:val="22"/>
                </w:rPr>
                <w:t>fakss</w:t>
              </w:r>
            </w:smartTag>
            <w:r w:rsidRPr="008B6225">
              <w:rPr>
                <w:b/>
                <w:i/>
                <w:sz w:val="22"/>
                <w:szCs w:val="22"/>
              </w:rPr>
              <w:t>: +37167221006,</w:t>
            </w:r>
            <w:r w:rsidRPr="008B6225">
              <w:rPr>
                <w:b/>
                <w:i/>
                <w:sz w:val="22"/>
                <w:szCs w:val="22"/>
              </w:rPr>
              <w:br/>
              <w:t xml:space="preserve">e-pasts: </w:t>
            </w:r>
            <w:hyperlink r:id="rId10" w:history="1">
              <w:r w:rsidRPr="008B6225">
                <w:rPr>
                  <w:rStyle w:val="Hyperlink"/>
                  <w:b/>
                  <w:i/>
                  <w:sz w:val="22"/>
                  <w:szCs w:val="22"/>
                </w:rPr>
                <w:t>diplomi@aic.lv</w:t>
              </w:r>
            </w:hyperlink>
            <w:r w:rsidRPr="008B6225">
              <w:rPr>
                <w:b/>
                <w:i/>
                <w:sz w:val="22"/>
                <w:szCs w:val="22"/>
              </w:rPr>
              <w:t xml:space="preserve">, interneta vietne: </w:t>
            </w:r>
            <w:hyperlink r:id="rId11" w:history="1">
              <w:r w:rsidRPr="008B6225">
                <w:rPr>
                  <w:rStyle w:val="Hyperlink"/>
                  <w:b/>
                  <w:i/>
                  <w:sz w:val="22"/>
                  <w:szCs w:val="22"/>
                </w:rPr>
                <w:t>www.aic.lv</w:t>
              </w:r>
            </w:hyperlink>
          </w:p>
          <w:p w14:paraId="18955EF7" w14:textId="77777777" w:rsidR="008B6225" w:rsidRPr="008B6225" w:rsidRDefault="008B6225" w:rsidP="00A23C45">
            <w:pPr>
              <w:pStyle w:val="tvhtmlmktable"/>
              <w:spacing w:before="0" w:beforeAutospacing="0" w:after="0" w:afterAutospacing="0"/>
              <w:ind w:left="318" w:right="175"/>
              <w:jc w:val="both"/>
              <w:rPr>
                <w:caps/>
                <w:color w:val="FF0000"/>
                <w:sz w:val="22"/>
                <w:szCs w:val="22"/>
              </w:rPr>
            </w:pPr>
          </w:p>
        </w:tc>
      </w:tr>
      <w:tr w:rsidR="008B6225" w:rsidRPr="008B6225" w14:paraId="44C3D37F" w14:textId="77777777" w:rsidTr="00A23C45">
        <w:trPr>
          <w:cantSplit/>
        </w:trPr>
        <w:tc>
          <w:tcPr>
            <w:tcW w:w="10207" w:type="dxa"/>
            <w:tcBorders>
              <w:top w:val="nil"/>
              <w:left w:val="nil"/>
              <w:bottom w:val="nil"/>
              <w:right w:val="nil"/>
            </w:tcBorders>
          </w:tcPr>
          <w:p w14:paraId="1331A979" w14:textId="77777777" w:rsidR="008B6225" w:rsidRPr="008B6225" w:rsidRDefault="008B6225" w:rsidP="00A23C45">
            <w:pPr>
              <w:pStyle w:val="tvhtmlmktable"/>
              <w:spacing w:before="0" w:beforeAutospacing="0" w:after="0" w:afterAutospacing="0"/>
              <w:ind w:left="318" w:right="176"/>
              <w:jc w:val="both"/>
              <w:rPr>
                <w:b/>
                <w:bCs/>
                <w:caps/>
                <w:sz w:val="22"/>
                <w:szCs w:val="22"/>
              </w:rPr>
            </w:pPr>
            <w:r w:rsidRPr="008B6225">
              <w:rPr>
                <w:b/>
                <w:bCs/>
                <w:caps/>
                <w:sz w:val="22"/>
                <w:szCs w:val="22"/>
              </w:rPr>
              <w:t>6. apliecības Pielikuma apstiprinājums:</w:t>
            </w:r>
          </w:p>
          <w:p w14:paraId="733F3868" w14:textId="77777777" w:rsidR="008B6225" w:rsidRPr="008B6225" w:rsidRDefault="008B6225" w:rsidP="00A23C45">
            <w:pPr>
              <w:tabs>
                <w:tab w:val="left" w:pos="4320"/>
              </w:tabs>
              <w:ind w:left="601" w:right="459"/>
              <w:jc w:val="both"/>
              <w:rPr>
                <w:sz w:val="22"/>
                <w:szCs w:val="22"/>
              </w:rPr>
            </w:pPr>
            <w:r w:rsidRPr="008B6225">
              <w:rPr>
                <w:sz w:val="22"/>
                <w:szCs w:val="22"/>
              </w:rPr>
              <w:t xml:space="preserve">6.1. datums: </w:t>
            </w:r>
            <w:r w:rsidRPr="008B6225">
              <w:rPr>
                <w:i/>
                <w:iCs/>
                <w:sz w:val="22"/>
                <w:szCs w:val="22"/>
              </w:rPr>
              <w:t>dd.mm.gggg.</w:t>
            </w:r>
          </w:p>
          <w:p w14:paraId="5B63E97D" w14:textId="77777777" w:rsidR="008B6225" w:rsidRPr="008B6225" w:rsidRDefault="008B6225" w:rsidP="00A23C45">
            <w:pPr>
              <w:tabs>
                <w:tab w:val="left" w:pos="4320"/>
              </w:tabs>
              <w:ind w:left="601" w:right="459"/>
              <w:jc w:val="both"/>
              <w:rPr>
                <w:sz w:val="22"/>
                <w:szCs w:val="22"/>
              </w:rPr>
            </w:pPr>
            <w:r w:rsidRPr="008B6225">
              <w:rPr>
                <w:sz w:val="22"/>
                <w:szCs w:val="22"/>
              </w:rPr>
              <w:t>6.2</w:t>
            </w:r>
            <w:r w:rsidRPr="008B6225">
              <w:rPr>
                <w:b/>
                <w:i/>
                <w:sz w:val="22"/>
                <w:szCs w:val="22"/>
              </w:rPr>
              <w:t>. Vārds, Uzvārds</w:t>
            </w:r>
            <w:r w:rsidRPr="008B6225">
              <w:rPr>
                <w:sz w:val="22"/>
                <w:szCs w:val="22"/>
              </w:rPr>
              <w:t>:____________________</w:t>
            </w:r>
          </w:p>
          <w:p w14:paraId="2301360E" w14:textId="77777777" w:rsidR="008B6225" w:rsidRPr="008B6225" w:rsidRDefault="008B6225" w:rsidP="00A23C45">
            <w:pPr>
              <w:tabs>
                <w:tab w:val="left" w:pos="4320"/>
              </w:tabs>
              <w:ind w:left="601" w:right="459"/>
              <w:jc w:val="both"/>
              <w:rPr>
                <w:sz w:val="22"/>
                <w:szCs w:val="22"/>
              </w:rPr>
            </w:pPr>
            <w:r w:rsidRPr="008B6225">
              <w:rPr>
                <w:sz w:val="22"/>
                <w:szCs w:val="22"/>
              </w:rPr>
              <w:t xml:space="preserve">6.3. pielikuma apstiprinātāja amats: </w:t>
            </w:r>
          </w:p>
          <w:p w14:paraId="0083822B" w14:textId="77777777" w:rsidR="008B6225" w:rsidRPr="008B6225" w:rsidRDefault="008B6225" w:rsidP="00A23C45">
            <w:pPr>
              <w:tabs>
                <w:tab w:val="left" w:pos="5760"/>
              </w:tabs>
              <w:ind w:left="601" w:right="459"/>
              <w:jc w:val="both"/>
              <w:rPr>
                <w:sz w:val="22"/>
                <w:szCs w:val="22"/>
              </w:rPr>
            </w:pPr>
            <w:r w:rsidRPr="008B6225">
              <w:rPr>
                <w:sz w:val="22"/>
                <w:szCs w:val="22"/>
              </w:rPr>
              <w:t xml:space="preserve">6.4. zīmogs vai spiedogs: </w:t>
            </w:r>
            <w:r w:rsidRPr="008B6225">
              <w:rPr>
                <w:sz w:val="22"/>
                <w:szCs w:val="22"/>
              </w:rPr>
              <w:tab/>
            </w:r>
          </w:p>
          <w:p w14:paraId="50255F3F" w14:textId="77777777" w:rsidR="008B6225" w:rsidRPr="008B6225" w:rsidRDefault="008B6225" w:rsidP="00A23C45">
            <w:pPr>
              <w:pStyle w:val="tvhtmlmktable"/>
              <w:spacing w:before="0" w:beforeAutospacing="0" w:after="0" w:afterAutospacing="0"/>
              <w:ind w:left="318" w:right="176"/>
              <w:jc w:val="both"/>
              <w:rPr>
                <w:caps/>
                <w:sz w:val="22"/>
                <w:szCs w:val="22"/>
              </w:rPr>
            </w:pPr>
          </w:p>
        </w:tc>
      </w:tr>
    </w:tbl>
    <w:p w14:paraId="49808AB3" w14:textId="77777777" w:rsidR="008B6225" w:rsidRPr="007735EB" w:rsidRDefault="008B6225" w:rsidP="007735EB">
      <w:pPr>
        <w:spacing w:before="120" w:after="120"/>
        <w:rPr>
          <w:rFonts w:ascii="Times New Roman" w:hAnsi="Times New Roman" w:cs="Times New Roman"/>
          <w:color w:val="000000" w:themeColor="text1"/>
          <w:sz w:val="24"/>
          <w:szCs w:val="24"/>
        </w:rPr>
      </w:pPr>
    </w:p>
    <w:sectPr w:rsidR="008B6225" w:rsidRPr="007735EB">
      <w:footerReference w:type="default" r:id="rId12"/>
      <w:pgSz w:w="11906" w:h="16838"/>
      <w:pgMar w:top="1440" w:right="1440" w:bottom="1440" w:left="153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269C2" w14:textId="77777777" w:rsidR="00B83D5B" w:rsidRDefault="00B83D5B">
      <w:pPr>
        <w:spacing w:after="0" w:line="240" w:lineRule="auto"/>
      </w:pPr>
      <w:r>
        <w:separator/>
      </w:r>
    </w:p>
  </w:endnote>
  <w:endnote w:type="continuationSeparator" w:id="0">
    <w:p w14:paraId="392FF571" w14:textId="77777777" w:rsidR="00B83D5B" w:rsidRDefault="00B83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174B0694-15E3-4B8E-BD41-B9684B983D5D}"/>
    <w:embedBold r:id="rId2" w:fontKey="{79BE52A0-80A3-489E-859C-33ACA6A3F903}"/>
    <w:embedItalic r:id="rId3" w:fontKey="{138D63F8-1B9D-4515-8EE6-26BD26E3BDA4}"/>
  </w:font>
  <w:font w:name="Aptos Display">
    <w:charset w:val="00"/>
    <w:family w:val="swiss"/>
    <w:pitch w:val="variable"/>
    <w:sig w:usb0="20000287" w:usb1="00000003" w:usb2="00000000" w:usb3="00000000" w:csb0="0000019F" w:csb1="00000000"/>
    <w:embedRegular r:id="rId4" w:fontKey="{9A79CED1-8F90-495F-B572-D7223D5100FB}"/>
    <w:embedBold r:id="rId5" w:fontKey="{529E2A15-9F64-4AB9-837E-61309DC9F04E}"/>
    <w:embedItalic r:id="rId6" w:fontKey="{AB46A785-8079-4231-BD88-CD8948846033}"/>
    <w:embedBoldItalic r:id="rId7" w:fontKey="{52D2BCA5-7A4D-4A49-B785-197B5A416666}"/>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E4692CDE-2C68-4DD2-8DA0-1AE0CA49EB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20466"/>
      <w:docPartObj>
        <w:docPartGallery w:val="Page Numbers (Bottom of Page)"/>
        <w:docPartUnique/>
      </w:docPartObj>
    </w:sdtPr>
    <w:sdtEndPr>
      <w:rPr>
        <w:noProof/>
      </w:rPr>
    </w:sdtEndPr>
    <w:sdtContent>
      <w:p w14:paraId="639D8FD9" w14:textId="75C06CE6" w:rsidR="00770123" w:rsidRDefault="007701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B7F509" w14:textId="77777777" w:rsidR="00770123" w:rsidRDefault="00770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48D41" w14:textId="77777777" w:rsidR="00B83D5B" w:rsidRDefault="00B83D5B">
      <w:pPr>
        <w:spacing w:after="0" w:line="240" w:lineRule="auto"/>
      </w:pPr>
      <w:r>
        <w:separator/>
      </w:r>
    </w:p>
  </w:footnote>
  <w:footnote w:type="continuationSeparator" w:id="0">
    <w:p w14:paraId="1B06050D" w14:textId="77777777" w:rsidR="00B83D5B" w:rsidRDefault="00B83D5B">
      <w:pPr>
        <w:spacing w:after="0" w:line="240" w:lineRule="auto"/>
      </w:pPr>
      <w:r>
        <w:continuationSeparator/>
      </w:r>
    </w:p>
  </w:footnote>
  <w:footnote w:id="1">
    <w:p w14:paraId="5D8A296B"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Izglītības likums: </w:t>
      </w:r>
      <w:hyperlink r:id="rId1">
        <w:r w:rsidR="00AB05AE">
          <w:rPr>
            <w:rFonts w:ascii="Times New Roman" w:eastAsia="Times New Roman" w:hAnsi="Times New Roman" w:cs="Times New Roman"/>
            <w:i/>
            <w:iCs/>
            <w:color w:val="1155CC"/>
            <w:sz w:val="20"/>
            <w:szCs w:val="20"/>
            <w:u w:val="single"/>
          </w:rPr>
          <w:t>https://likumi.lv/ta/id/50759-izglitibas-likums</w:t>
        </w:r>
      </w:hyperlink>
      <w:r>
        <w:rPr>
          <w:rFonts w:ascii="Times New Roman" w:eastAsia="Times New Roman" w:hAnsi="Times New Roman" w:cs="Times New Roman"/>
          <w:i/>
          <w:iCs/>
          <w:sz w:val="20"/>
          <w:szCs w:val="20"/>
        </w:rPr>
        <w:t xml:space="preserve"> </w:t>
      </w:r>
    </w:p>
  </w:footnote>
  <w:footnote w:id="2">
    <w:p w14:paraId="5D8A296C"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Augstskolu likums: </w:t>
      </w:r>
      <w:hyperlink r:id="rId2">
        <w:r w:rsidR="00AB05AE">
          <w:rPr>
            <w:rFonts w:ascii="Times New Roman" w:eastAsia="Times New Roman" w:hAnsi="Times New Roman" w:cs="Times New Roman"/>
            <w:i/>
            <w:iCs/>
            <w:color w:val="1155CC"/>
            <w:sz w:val="20"/>
            <w:szCs w:val="20"/>
            <w:u w:val="single"/>
          </w:rPr>
          <w:t>https://likumi.lv/ta/id/37967-augstskolu-likums</w:t>
        </w:r>
      </w:hyperlink>
      <w:r>
        <w:rPr>
          <w:rFonts w:ascii="Times New Roman" w:eastAsia="Times New Roman" w:hAnsi="Times New Roman" w:cs="Times New Roman"/>
          <w:i/>
          <w:iCs/>
          <w:sz w:val="20"/>
          <w:szCs w:val="20"/>
        </w:rPr>
        <w:t xml:space="preserve"> </w:t>
      </w:r>
    </w:p>
  </w:footnote>
  <w:footnote w:id="3">
    <w:p w14:paraId="5D8A296D"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sz w:val="20"/>
          <w:szCs w:val="20"/>
        </w:rPr>
        <w:t xml:space="preserve"> </w:t>
      </w:r>
      <w:r>
        <w:rPr>
          <w:rFonts w:ascii="Times New Roman" w:eastAsia="Times New Roman" w:hAnsi="Times New Roman" w:cs="Times New Roman"/>
          <w:i/>
          <w:iCs/>
          <w:sz w:val="20"/>
          <w:szCs w:val="20"/>
        </w:rPr>
        <w:t xml:space="preserve">Profesionālās izglītības likums: </w:t>
      </w:r>
      <w:hyperlink r:id="rId3">
        <w:r w:rsidR="00AB05AE">
          <w:rPr>
            <w:rFonts w:ascii="Times New Roman" w:eastAsia="Times New Roman" w:hAnsi="Times New Roman" w:cs="Times New Roman"/>
            <w:i/>
            <w:iCs/>
            <w:color w:val="1155CC"/>
            <w:sz w:val="20"/>
            <w:szCs w:val="20"/>
            <w:u w:val="single"/>
          </w:rPr>
          <w:t>https://likumi.lv/ta/id/20244-profesionalas-izglitibas-likums</w:t>
        </w:r>
      </w:hyperlink>
      <w:r>
        <w:rPr>
          <w:rFonts w:ascii="Times New Roman" w:eastAsia="Times New Roman" w:hAnsi="Times New Roman" w:cs="Times New Roman"/>
          <w:i/>
          <w:iCs/>
          <w:sz w:val="20"/>
          <w:szCs w:val="20"/>
        </w:rPr>
        <w:t xml:space="preserve"> </w:t>
      </w:r>
    </w:p>
  </w:footnote>
  <w:footnote w:id="4">
    <w:p w14:paraId="5D8A296E" w14:textId="77777777" w:rsidR="00AB05AE" w:rsidRDefault="004B7ED8">
      <w:pPr>
        <w:spacing w:after="0" w:line="240" w:lineRule="auto"/>
        <w:ind w:right="-33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 xml:space="preserve">Noteikumi par Latvijas izglītības klasifikāciju: </w:t>
      </w:r>
      <w:hyperlink r:id="rId4">
        <w:r w:rsidR="00AB05AE">
          <w:rPr>
            <w:rFonts w:ascii="Times New Roman" w:eastAsia="Times New Roman" w:hAnsi="Times New Roman" w:cs="Times New Roman"/>
            <w:i/>
            <w:iCs/>
            <w:color w:val="1155CC"/>
            <w:sz w:val="20"/>
            <w:szCs w:val="20"/>
            <w:u w:val="single"/>
          </w:rPr>
          <w:t>https://likumi.lv/ta/id/291524-noteikumi-par-latvijas-izglitibas-klasifikaciju</w:t>
        </w:r>
      </w:hyperlink>
      <w:r>
        <w:rPr>
          <w:rFonts w:ascii="Times New Roman" w:eastAsia="Times New Roman" w:hAnsi="Times New Roman" w:cs="Times New Roman"/>
          <w:sz w:val="20"/>
          <w:szCs w:val="20"/>
        </w:rPr>
        <w:t xml:space="preserve"> </w:t>
      </w:r>
    </w:p>
  </w:footnote>
  <w:footnote w:id="5">
    <w:p w14:paraId="5D8A296F"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sz w:val="20"/>
          <w:szCs w:val="20"/>
        </w:rPr>
        <w:t xml:space="preserve"> </w:t>
      </w:r>
      <w:r>
        <w:rPr>
          <w:rFonts w:ascii="Times New Roman" w:eastAsia="Times New Roman" w:hAnsi="Times New Roman" w:cs="Times New Roman"/>
          <w:i/>
          <w:iCs/>
          <w:sz w:val="20"/>
          <w:szCs w:val="20"/>
        </w:rPr>
        <w:t xml:space="preserve">Noteikumi par valsts profesionālās tālākizglītības un profesionālās pilnveides izglītības standartu: </w:t>
      </w:r>
      <w:hyperlink r:id="rId5">
        <w:r w:rsidR="00AB05AE">
          <w:rPr>
            <w:rFonts w:ascii="Times New Roman" w:eastAsia="Times New Roman" w:hAnsi="Times New Roman" w:cs="Times New Roman"/>
            <w:i/>
            <w:iCs/>
            <w:color w:val="1155CC"/>
            <w:sz w:val="20"/>
            <w:szCs w:val="20"/>
            <w:u w:val="single"/>
          </w:rPr>
          <w:t>https://likumi.lv/ta/id/349948-noteikumi-par-valsts-profesionalas-talakizglitibas-un-profesionalas-pilnveides-izglitibas-standartu%C2%A0</w:t>
        </w:r>
      </w:hyperlink>
      <w:r>
        <w:rPr>
          <w:rFonts w:ascii="Times New Roman" w:eastAsia="Times New Roman" w:hAnsi="Times New Roman" w:cs="Times New Roman"/>
          <w:i/>
          <w:iCs/>
          <w:sz w:val="20"/>
          <w:szCs w:val="20"/>
        </w:rPr>
        <w:t xml:space="preserve"> </w:t>
      </w:r>
    </w:p>
  </w:footnote>
  <w:footnote w:id="6">
    <w:p w14:paraId="5D8A2970" w14:textId="77777777" w:rsidR="00AB05AE" w:rsidRDefault="004B7ED8">
      <w:pPr>
        <w:spacing w:after="0" w:line="240" w:lineRule="auto"/>
        <w:jc w:val="both"/>
        <w:rPr>
          <w:i/>
          <w:iCs/>
          <w:sz w:val="16"/>
          <w:szCs w:val="16"/>
        </w:rPr>
      </w:pPr>
      <w:r>
        <w:rPr>
          <w:vertAlign w:val="superscript"/>
        </w:rPr>
        <w:footnoteRef/>
      </w:r>
      <w:r>
        <w:rPr>
          <w:sz w:val="20"/>
          <w:szCs w:val="20"/>
        </w:rPr>
        <w:t xml:space="preserve"> </w:t>
      </w:r>
      <w:hyperlink r:id="rId6">
        <w:r w:rsidR="00AB05AE">
          <w:rPr>
            <w:rFonts w:ascii="Times New Roman" w:eastAsia="Times New Roman" w:hAnsi="Times New Roman" w:cs="Times New Roman"/>
            <w:i/>
            <w:iCs/>
            <w:color w:val="1155CC"/>
            <w:sz w:val="20"/>
            <w:szCs w:val="20"/>
            <w:u w:val="single"/>
          </w:rPr>
          <w:t>Valsts atzītu profesionālo izglītību un profesionālo kvalifikāciju apliecinošu dokumentu, moduļa apliecību un profesionālās izglītības programmas daļas apguvi apliecinošu dokumentu noteikumi</w:t>
        </w:r>
      </w:hyperlink>
      <w:r>
        <w:rPr>
          <w:rFonts w:ascii="Times New Roman" w:eastAsia="Times New Roman" w:hAnsi="Times New Roman" w:cs="Times New Roman"/>
          <w:i/>
          <w:iCs/>
          <w:sz w:val="20"/>
          <w:szCs w:val="20"/>
        </w:rPr>
        <w:t xml:space="preserve"> </w:t>
      </w:r>
    </w:p>
  </w:footnote>
  <w:footnote w:id="7">
    <w:p w14:paraId="5D8A2971"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Profesiju standartu datu bāze: </w:t>
      </w:r>
      <w:hyperlink r:id="rId7">
        <w:r w:rsidR="00AB05AE">
          <w:rPr>
            <w:rFonts w:ascii="Times New Roman" w:eastAsia="Times New Roman" w:hAnsi="Times New Roman" w:cs="Times New Roman"/>
            <w:i/>
            <w:iCs/>
            <w:color w:val="1155CC"/>
            <w:sz w:val="20"/>
            <w:szCs w:val="20"/>
            <w:u w:val="single"/>
          </w:rPr>
          <w:t>https://registri.visc.gov.lv/profizglitiba/stand_registrs_2017.shtml</w:t>
        </w:r>
      </w:hyperlink>
      <w:r>
        <w:rPr>
          <w:rFonts w:ascii="Times New Roman" w:eastAsia="Times New Roman" w:hAnsi="Times New Roman" w:cs="Times New Roman"/>
          <w:i/>
          <w:iCs/>
          <w:sz w:val="20"/>
          <w:szCs w:val="20"/>
        </w:rPr>
        <w:t xml:space="preserve"> </w:t>
      </w:r>
    </w:p>
  </w:footnote>
  <w:footnote w:id="8">
    <w:p w14:paraId="5D8A2972"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Aalto EE. (n.d.). </w:t>
      </w:r>
      <w:r>
        <w:rPr>
          <w:rFonts w:ascii="Times New Roman" w:eastAsia="Times New Roman" w:hAnsi="Times New Roman" w:cs="Times New Roman"/>
          <w:i/>
          <w:iCs/>
          <w:sz w:val="20"/>
          <w:szCs w:val="20"/>
        </w:rPr>
        <w:t>Micro‑credentials – new era of learning</w:t>
      </w:r>
      <w:r>
        <w:rPr>
          <w:rFonts w:ascii="Times New Roman" w:eastAsia="Times New Roman" w:hAnsi="Times New Roman" w:cs="Times New Roman"/>
          <w:sz w:val="20"/>
          <w:szCs w:val="20"/>
        </w:rPr>
        <w:t>.</w:t>
      </w:r>
      <w:hyperlink r:id="rId8">
        <w:r w:rsidR="00AB05AE">
          <w:rPr>
            <w:rFonts w:ascii="Times New Roman" w:eastAsia="Times New Roman" w:hAnsi="Times New Roman" w:cs="Times New Roman"/>
            <w:sz w:val="20"/>
            <w:szCs w:val="20"/>
          </w:rPr>
          <w:t xml:space="preserve"> </w:t>
        </w:r>
      </w:hyperlink>
      <w:hyperlink r:id="rId9">
        <w:r w:rsidR="00AB05AE">
          <w:rPr>
            <w:rFonts w:ascii="Times New Roman" w:eastAsia="Times New Roman" w:hAnsi="Times New Roman" w:cs="Times New Roman"/>
            <w:color w:val="1155CC"/>
            <w:sz w:val="20"/>
            <w:szCs w:val="20"/>
            <w:u w:val="single"/>
          </w:rPr>
          <w:t>https://www.aaltoee.fi/en/micro-credentials</w:t>
        </w:r>
      </w:hyperlink>
    </w:p>
  </w:footnote>
  <w:footnote w:id="9">
    <w:p w14:paraId="5D8A2973"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New Zealand Qualifications Authority. (2024). </w:t>
      </w:r>
      <w:r>
        <w:rPr>
          <w:rFonts w:ascii="Times New Roman" w:eastAsia="Times New Roman" w:hAnsi="Times New Roman" w:cs="Times New Roman"/>
          <w:i/>
          <w:iCs/>
          <w:sz w:val="20"/>
          <w:szCs w:val="20"/>
        </w:rPr>
        <w:t>Aotearoa New Zealand’s early micro‑credentials journey</w:t>
      </w:r>
      <w:r>
        <w:rPr>
          <w:rFonts w:ascii="Times New Roman" w:eastAsia="Times New Roman" w:hAnsi="Times New Roman" w:cs="Times New Roman"/>
          <w:sz w:val="20"/>
          <w:szCs w:val="20"/>
        </w:rPr>
        <w:t>.</w:t>
      </w:r>
      <w:hyperlink r:id="rId10">
        <w:r w:rsidR="00AB05AE">
          <w:rPr>
            <w:rFonts w:ascii="Times New Roman" w:eastAsia="Times New Roman" w:hAnsi="Times New Roman" w:cs="Times New Roman"/>
            <w:sz w:val="20"/>
            <w:szCs w:val="20"/>
          </w:rPr>
          <w:t xml:space="preserve"> </w:t>
        </w:r>
      </w:hyperlink>
      <w:hyperlink r:id="rId11">
        <w:r w:rsidR="00AB05AE">
          <w:rPr>
            <w:rFonts w:ascii="Times New Roman" w:eastAsia="Times New Roman" w:hAnsi="Times New Roman" w:cs="Times New Roman"/>
            <w:color w:val="1155CC"/>
            <w:sz w:val="20"/>
            <w:szCs w:val="20"/>
            <w:u w:val="single"/>
          </w:rPr>
          <w:t>https://www2.nzqa.govt.nz/about-us/publications/insights-papers/improving-relevance-and-responsiveness-2/</w:t>
        </w:r>
      </w:hyperlink>
    </w:p>
  </w:footnote>
  <w:footnote w:id="10">
    <w:p w14:paraId="5D8A2974"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National Microcredentials Framework (Australia). (n.d.). </w:t>
      </w:r>
      <w:r>
        <w:rPr>
          <w:rFonts w:ascii="Times New Roman" w:eastAsia="Times New Roman" w:hAnsi="Times New Roman" w:cs="Times New Roman"/>
          <w:i/>
          <w:iCs/>
          <w:sz w:val="20"/>
          <w:szCs w:val="20"/>
        </w:rPr>
        <w:t>National Microcredentials Framework</w:t>
      </w:r>
      <w:r>
        <w:rPr>
          <w:rFonts w:ascii="Times New Roman" w:eastAsia="Times New Roman" w:hAnsi="Times New Roman" w:cs="Times New Roman"/>
          <w:sz w:val="20"/>
          <w:szCs w:val="20"/>
        </w:rPr>
        <w:t>. Department of Education.</w:t>
      </w:r>
      <w:hyperlink r:id="rId12">
        <w:r w:rsidR="00AB05AE">
          <w:rPr>
            <w:rFonts w:ascii="Times New Roman" w:eastAsia="Times New Roman" w:hAnsi="Times New Roman" w:cs="Times New Roman"/>
            <w:sz w:val="20"/>
            <w:szCs w:val="20"/>
          </w:rPr>
          <w:t xml:space="preserve"> </w:t>
        </w:r>
      </w:hyperlink>
      <w:hyperlink r:id="rId13">
        <w:r w:rsidR="00AB05AE">
          <w:rPr>
            <w:rFonts w:ascii="Times New Roman" w:eastAsia="Times New Roman" w:hAnsi="Times New Roman" w:cs="Times New Roman"/>
            <w:color w:val="1155CC"/>
            <w:sz w:val="20"/>
            <w:szCs w:val="20"/>
            <w:u w:val="single"/>
          </w:rPr>
          <w:t>https://www.education.gov.au/download/13591/national-microcredentials-framework/26500/document/pdf</w:t>
        </w:r>
      </w:hyperlink>
    </w:p>
  </w:footnote>
  <w:footnote w:id="11">
    <w:p w14:paraId="5D8A2975"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OECD. (2023). </w:t>
      </w:r>
      <w:r>
        <w:rPr>
          <w:rFonts w:ascii="Times New Roman" w:eastAsia="Times New Roman" w:hAnsi="Times New Roman" w:cs="Times New Roman"/>
          <w:i/>
          <w:iCs/>
          <w:sz w:val="20"/>
          <w:szCs w:val="20"/>
        </w:rPr>
        <w:t>Micro‑credential policy implementation in Finland, the Slovak Republic, Slovenia and Spain</w:t>
      </w:r>
      <w:r>
        <w:rPr>
          <w:rFonts w:ascii="Times New Roman" w:eastAsia="Times New Roman" w:hAnsi="Times New Roman" w:cs="Times New Roman"/>
          <w:sz w:val="20"/>
          <w:szCs w:val="20"/>
        </w:rPr>
        <w:t>. https://www.oecd.org/en/publications/micro‑credential-policy-implementation-in-finland-the-slovak-republic-slovenia-and-spain_c3daa488-en.html</w:t>
      </w:r>
    </w:p>
  </w:footnote>
  <w:footnote w:id="12">
    <w:p w14:paraId="5D8A2976"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European Commission. (2024). </w:t>
      </w:r>
      <w:r>
        <w:rPr>
          <w:rFonts w:ascii="Times New Roman" w:eastAsia="Times New Roman" w:hAnsi="Times New Roman" w:cs="Times New Roman"/>
          <w:i/>
          <w:iCs/>
          <w:sz w:val="20"/>
          <w:szCs w:val="20"/>
        </w:rPr>
        <w:t>A European approach to micro‑credentials</w:t>
      </w:r>
      <w:r>
        <w:rPr>
          <w:rFonts w:ascii="Times New Roman" w:eastAsia="Times New Roman" w:hAnsi="Times New Roman" w:cs="Times New Roman"/>
          <w:sz w:val="20"/>
          <w:szCs w:val="20"/>
        </w:rPr>
        <w:t>.</w:t>
      </w:r>
      <w:hyperlink r:id="rId14">
        <w:r w:rsidR="00AB05AE">
          <w:rPr>
            <w:rFonts w:ascii="Times New Roman" w:eastAsia="Times New Roman" w:hAnsi="Times New Roman" w:cs="Times New Roman"/>
            <w:sz w:val="20"/>
            <w:szCs w:val="20"/>
          </w:rPr>
          <w:t xml:space="preserve"> </w:t>
        </w:r>
      </w:hyperlink>
      <w:hyperlink r:id="rId15">
        <w:r w:rsidR="00AB05AE">
          <w:rPr>
            <w:rFonts w:ascii="Times New Roman" w:eastAsia="Times New Roman" w:hAnsi="Times New Roman" w:cs="Times New Roman"/>
            <w:color w:val="1155CC"/>
            <w:sz w:val="20"/>
            <w:szCs w:val="20"/>
            <w:u w:val="single"/>
          </w:rPr>
          <w:t>https://education.ec.europa.eu/education-levels/higher-education/micro-credentials</w:t>
        </w:r>
      </w:hyperlink>
    </w:p>
  </w:footnote>
  <w:footnote w:id="13">
    <w:p w14:paraId="5D8A2977"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Selvaratnam, R., &amp; Sankey, M. (2021). </w:t>
      </w:r>
      <w:r>
        <w:rPr>
          <w:rFonts w:ascii="Times New Roman" w:eastAsia="Times New Roman" w:hAnsi="Times New Roman" w:cs="Times New Roman"/>
          <w:i/>
          <w:iCs/>
          <w:sz w:val="20"/>
          <w:szCs w:val="20"/>
        </w:rPr>
        <w:t>The State of Micro‑Credentials Implementation and Practice in Australasia</w:t>
      </w:r>
      <w:r>
        <w:rPr>
          <w:rFonts w:ascii="Times New Roman" w:eastAsia="Times New Roman" w:hAnsi="Times New Roman" w:cs="Times New Roman"/>
          <w:sz w:val="20"/>
          <w:szCs w:val="20"/>
        </w:rPr>
        <w:t>. Open Praxis, 13(2). https://doi.org/10.5944/openpraxis.13.2.130</w:t>
      </w:r>
    </w:p>
  </w:footnote>
  <w:footnote w:id="14">
    <w:p w14:paraId="5D8A2978"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Coursera. (2024). </w:t>
      </w:r>
      <w:r>
        <w:rPr>
          <w:rFonts w:ascii="Times New Roman" w:eastAsia="Times New Roman" w:hAnsi="Times New Roman" w:cs="Times New Roman"/>
          <w:i/>
          <w:iCs/>
          <w:sz w:val="20"/>
          <w:szCs w:val="20"/>
        </w:rPr>
        <w:t>Global Skills Report 2024</w:t>
      </w:r>
      <w:r>
        <w:rPr>
          <w:rFonts w:ascii="Times New Roman" w:eastAsia="Times New Roman" w:hAnsi="Times New Roman" w:cs="Times New Roman"/>
          <w:sz w:val="20"/>
          <w:szCs w:val="20"/>
        </w:rPr>
        <w:t>.</w:t>
      </w:r>
      <w:hyperlink r:id="rId16">
        <w:r w:rsidR="00AB05AE">
          <w:rPr>
            <w:rFonts w:ascii="Times New Roman" w:eastAsia="Times New Roman" w:hAnsi="Times New Roman" w:cs="Times New Roman"/>
            <w:sz w:val="20"/>
            <w:szCs w:val="20"/>
          </w:rPr>
          <w:t xml:space="preserve"> </w:t>
        </w:r>
      </w:hyperlink>
      <w:hyperlink r:id="rId17">
        <w:r w:rsidR="00AB05AE">
          <w:rPr>
            <w:rFonts w:ascii="Times New Roman" w:eastAsia="Times New Roman" w:hAnsi="Times New Roman" w:cs="Times New Roman"/>
            <w:color w:val="1155CC"/>
            <w:sz w:val="20"/>
            <w:szCs w:val="20"/>
            <w:u w:val="single"/>
          </w:rPr>
          <w:t>https://www.coursera.org/reports/global-skills-report-2024</w:t>
        </w:r>
      </w:hyperlink>
    </w:p>
  </w:footnote>
  <w:footnote w:id="15">
    <w:p w14:paraId="5D8A2979"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Varadarajan, S., Koh, J. H. L., &amp; Daniel, B. K. (2023). A systematic review of the opportunities and challenges of micro‑credentials for multiple stakeholders: Learners, employers, higher education institutions and government. </w:t>
      </w:r>
      <w:r>
        <w:rPr>
          <w:rFonts w:ascii="Times New Roman" w:eastAsia="Times New Roman" w:hAnsi="Times New Roman" w:cs="Times New Roman"/>
          <w:i/>
          <w:iCs/>
          <w:sz w:val="20"/>
          <w:szCs w:val="20"/>
        </w:rPr>
        <w:t>International Journal of Educational Technology in Higher Education, 20</w:t>
      </w:r>
      <w:r>
        <w:rPr>
          <w:rFonts w:ascii="Times New Roman" w:eastAsia="Times New Roman" w:hAnsi="Times New Roman" w:cs="Times New Roman"/>
          <w:sz w:val="20"/>
          <w:szCs w:val="20"/>
        </w:rPr>
        <w:t>(1). https://doi.org/10.1186/s41239-023-00381-x</w:t>
      </w:r>
    </w:p>
  </w:footnote>
  <w:footnote w:id="16">
    <w:p w14:paraId="5D8A297A"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World Economic Forum. (2025). </w:t>
      </w:r>
      <w:r>
        <w:rPr>
          <w:rFonts w:ascii="Times New Roman" w:eastAsia="Times New Roman" w:hAnsi="Times New Roman" w:cs="Times New Roman"/>
          <w:i/>
          <w:iCs/>
          <w:sz w:val="20"/>
          <w:szCs w:val="20"/>
        </w:rPr>
        <w:t>The Future of Jobs Report 2025</w:t>
      </w:r>
      <w:r>
        <w:rPr>
          <w:rFonts w:ascii="Times New Roman" w:eastAsia="Times New Roman" w:hAnsi="Times New Roman" w:cs="Times New Roman"/>
          <w:sz w:val="20"/>
          <w:szCs w:val="20"/>
        </w:rPr>
        <w:t>. https://www.weforum.org/publications/future-of-jobs-report-2025/</w:t>
      </w:r>
    </w:p>
  </w:footnote>
  <w:footnote w:id="17">
    <w:p w14:paraId="5D8A297B"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European Training Foundation. (2025). </w:t>
      </w:r>
      <w:r>
        <w:rPr>
          <w:rFonts w:ascii="Times New Roman" w:eastAsia="Times New Roman" w:hAnsi="Times New Roman" w:cs="Times New Roman"/>
          <w:i/>
          <w:iCs/>
          <w:sz w:val="20"/>
          <w:szCs w:val="20"/>
        </w:rPr>
        <w:t>ETF: Home</w:t>
      </w:r>
      <w:r>
        <w:rPr>
          <w:rFonts w:ascii="Times New Roman" w:eastAsia="Times New Roman" w:hAnsi="Times New Roman" w:cs="Times New Roman"/>
          <w:sz w:val="20"/>
          <w:szCs w:val="20"/>
        </w:rPr>
        <w:t>.</w:t>
      </w:r>
      <w:hyperlink r:id="rId18">
        <w:r w:rsidR="00AB05AE">
          <w:rPr>
            <w:rFonts w:ascii="Times New Roman" w:eastAsia="Times New Roman" w:hAnsi="Times New Roman" w:cs="Times New Roman"/>
            <w:sz w:val="20"/>
            <w:szCs w:val="20"/>
          </w:rPr>
          <w:t xml:space="preserve"> </w:t>
        </w:r>
      </w:hyperlink>
      <w:hyperlink r:id="rId19">
        <w:r w:rsidR="00AB05AE">
          <w:rPr>
            <w:rFonts w:ascii="Times New Roman" w:eastAsia="Times New Roman" w:hAnsi="Times New Roman" w:cs="Times New Roman"/>
            <w:sz w:val="20"/>
            <w:szCs w:val="20"/>
            <w:u w:val="single"/>
          </w:rPr>
          <w:t>https://www.etf.europa.eu/en</w:t>
        </w:r>
      </w:hyperlink>
    </w:p>
  </w:footnote>
  <w:footnote w:id="18">
    <w:p w14:paraId="5D8A297C"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ENQA. (2024). </w:t>
      </w:r>
      <w:r>
        <w:rPr>
          <w:rFonts w:ascii="Times New Roman" w:eastAsia="Times New Roman" w:hAnsi="Times New Roman" w:cs="Times New Roman"/>
          <w:i/>
          <w:iCs/>
          <w:sz w:val="20"/>
          <w:szCs w:val="20"/>
        </w:rPr>
        <w:t>Approaches to quality assurance of micro-credentials: Findings from the IMINQA project</w:t>
      </w:r>
      <w:r>
        <w:rPr>
          <w:rFonts w:ascii="Times New Roman" w:eastAsia="Times New Roman" w:hAnsi="Times New Roman" w:cs="Times New Roman"/>
          <w:sz w:val="20"/>
          <w:szCs w:val="20"/>
        </w:rPr>
        <w:t>. European Association for Quality Assurance in Higher Education.</w:t>
      </w:r>
      <w:hyperlink r:id="rId20">
        <w:r w:rsidR="00AB05AE">
          <w:rPr>
            <w:rFonts w:ascii="Times New Roman" w:eastAsia="Times New Roman" w:hAnsi="Times New Roman" w:cs="Times New Roman"/>
            <w:sz w:val="20"/>
            <w:szCs w:val="20"/>
          </w:rPr>
          <w:t xml:space="preserve"> </w:t>
        </w:r>
      </w:hyperlink>
      <w:hyperlink r:id="rId21">
        <w:r w:rsidR="00AB05AE">
          <w:rPr>
            <w:rFonts w:ascii="Times New Roman" w:eastAsia="Times New Roman" w:hAnsi="Times New Roman" w:cs="Times New Roman"/>
            <w:sz w:val="20"/>
            <w:szCs w:val="20"/>
            <w:u w:val="single"/>
          </w:rPr>
          <w:t>https://www.enqa.eu/wp-content/uploads/IMINQA-MC-report_Approaches-to-Quality-Assurance-of-Micro-credentials.pdf</w:t>
        </w:r>
      </w:hyperlink>
    </w:p>
  </w:footnote>
  <w:footnote w:id="19">
    <w:p w14:paraId="5D8A297D"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MicroCreds. (n.d.). </w:t>
      </w:r>
      <w:r>
        <w:rPr>
          <w:rFonts w:ascii="Times New Roman" w:eastAsia="Times New Roman" w:hAnsi="Times New Roman" w:cs="Times New Roman"/>
          <w:i/>
          <w:iCs/>
          <w:sz w:val="20"/>
          <w:szCs w:val="20"/>
        </w:rPr>
        <w:t>Home – MicroCreds | Short, flexible, accredited courses</w:t>
      </w:r>
      <w:r>
        <w:rPr>
          <w:rFonts w:ascii="Times New Roman" w:eastAsia="Times New Roman" w:hAnsi="Times New Roman" w:cs="Times New Roman"/>
          <w:sz w:val="20"/>
          <w:szCs w:val="20"/>
        </w:rPr>
        <w:t>.</w:t>
      </w:r>
      <w:hyperlink r:id="rId22">
        <w:r w:rsidR="00AB05AE">
          <w:rPr>
            <w:rFonts w:ascii="Times New Roman" w:eastAsia="Times New Roman" w:hAnsi="Times New Roman" w:cs="Times New Roman"/>
            <w:sz w:val="20"/>
            <w:szCs w:val="20"/>
          </w:rPr>
          <w:t xml:space="preserve"> </w:t>
        </w:r>
      </w:hyperlink>
      <w:hyperlink r:id="rId23">
        <w:r w:rsidR="00AB05AE">
          <w:rPr>
            <w:rFonts w:ascii="Times New Roman" w:eastAsia="Times New Roman" w:hAnsi="Times New Roman" w:cs="Times New Roman"/>
            <w:sz w:val="20"/>
            <w:szCs w:val="20"/>
            <w:u w:val="single"/>
          </w:rPr>
          <w:t>https://microcreds.ie/</w:t>
        </w:r>
      </w:hyperlink>
    </w:p>
  </w:footnote>
  <w:footnote w:id="20">
    <w:p w14:paraId="5D8A297E"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Digivisio2030. (n.d.). </w:t>
      </w:r>
      <w:r>
        <w:rPr>
          <w:rFonts w:ascii="Times New Roman" w:eastAsia="Times New Roman" w:hAnsi="Times New Roman" w:cs="Times New Roman"/>
          <w:i/>
          <w:iCs/>
          <w:sz w:val="20"/>
          <w:szCs w:val="20"/>
        </w:rPr>
        <w:t>Front page – Digivisio2030</w:t>
      </w:r>
      <w:r>
        <w:rPr>
          <w:rFonts w:ascii="Times New Roman" w:eastAsia="Times New Roman" w:hAnsi="Times New Roman" w:cs="Times New Roman"/>
          <w:sz w:val="20"/>
          <w:szCs w:val="20"/>
        </w:rPr>
        <w:t>.</w:t>
      </w:r>
      <w:hyperlink r:id="rId24">
        <w:r w:rsidR="00AB05AE">
          <w:rPr>
            <w:rFonts w:ascii="Times New Roman" w:eastAsia="Times New Roman" w:hAnsi="Times New Roman" w:cs="Times New Roman"/>
            <w:sz w:val="20"/>
            <w:szCs w:val="20"/>
          </w:rPr>
          <w:t xml:space="preserve"> </w:t>
        </w:r>
      </w:hyperlink>
      <w:hyperlink r:id="rId25">
        <w:r w:rsidR="00AB05AE">
          <w:rPr>
            <w:rFonts w:ascii="Times New Roman" w:eastAsia="Times New Roman" w:hAnsi="Times New Roman" w:cs="Times New Roman"/>
            <w:sz w:val="20"/>
            <w:szCs w:val="20"/>
            <w:u w:val="single"/>
          </w:rPr>
          <w:t>https://digivisio2030.fi/en</w:t>
        </w:r>
      </w:hyperlink>
      <w:r>
        <w:rPr>
          <w:rFonts w:ascii="Arial" w:eastAsia="Arial" w:hAnsi="Arial" w:cs="Arial"/>
          <w:sz w:val="20"/>
          <w:szCs w:val="20"/>
        </w:rPr>
        <w:t xml:space="preserve"> </w:t>
      </w:r>
    </w:p>
  </w:footnote>
  <w:footnote w:id="21">
    <w:p w14:paraId="5D8A297F"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Augstskolu likums: </w:t>
      </w:r>
      <w:hyperlink r:id="rId26">
        <w:r w:rsidR="00AB05AE">
          <w:rPr>
            <w:rFonts w:ascii="Times New Roman" w:eastAsia="Times New Roman" w:hAnsi="Times New Roman" w:cs="Times New Roman"/>
            <w:i/>
            <w:iCs/>
            <w:color w:val="1155CC"/>
            <w:sz w:val="20"/>
            <w:szCs w:val="20"/>
            <w:u w:val="single"/>
          </w:rPr>
          <w:t>https://likumi.lv/ta/id/37967-augstskolu-likums</w:t>
        </w:r>
      </w:hyperlink>
      <w:r>
        <w:rPr>
          <w:rFonts w:ascii="Times New Roman" w:eastAsia="Times New Roman" w:hAnsi="Times New Roman" w:cs="Times New Roman"/>
          <w:i/>
          <w:iCs/>
          <w:sz w:val="20"/>
          <w:szCs w:val="20"/>
        </w:rPr>
        <w:t xml:space="preserve"> </w:t>
      </w:r>
    </w:p>
  </w:footnote>
  <w:footnote w:id="22">
    <w:p w14:paraId="5D8A2980"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Noteikumi par valsts profesionālās augstākās izglītības standartu: </w:t>
      </w:r>
      <w:hyperlink r:id="rId27">
        <w:r w:rsidR="00AB05AE">
          <w:rPr>
            <w:rFonts w:ascii="Times New Roman" w:eastAsia="Times New Roman" w:hAnsi="Times New Roman" w:cs="Times New Roman"/>
            <w:i/>
            <w:iCs/>
            <w:color w:val="1155CC"/>
            <w:sz w:val="20"/>
            <w:szCs w:val="20"/>
            <w:u w:val="single"/>
          </w:rPr>
          <w:t>https://likumi.lv/ta/id/342818-noteikumi-par-valsts-profesionalas-augstakas-izglitibas-standartu</w:t>
        </w:r>
      </w:hyperlink>
      <w:r>
        <w:rPr>
          <w:rFonts w:ascii="Times New Roman" w:eastAsia="Times New Roman" w:hAnsi="Times New Roman" w:cs="Times New Roman"/>
          <w:i/>
          <w:iCs/>
          <w:sz w:val="20"/>
          <w:szCs w:val="20"/>
        </w:rPr>
        <w:t xml:space="preserve"> </w:t>
      </w:r>
    </w:p>
  </w:footnote>
  <w:footnote w:id="23">
    <w:p w14:paraId="5D8A2981"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w:t>
      </w:r>
      <w:r>
        <w:rPr>
          <w:rFonts w:ascii="Times New Roman" w:eastAsia="Times New Roman" w:hAnsi="Times New Roman" w:cs="Times New Roman"/>
          <w:i/>
          <w:iCs/>
          <w:sz w:val="20"/>
          <w:szCs w:val="20"/>
          <w:highlight w:val="white"/>
        </w:rPr>
        <w:t xml:space="preserve"> </w:t>
      </w:r>
      <w:bookmarkStart w:id="6" w:name="_Hlk221649075"/>
      <w:r>
        <w:rPr>
          <w:rFonts w:ascii="Times New Roman" w:eastAsia="Times New Roman" w:hAnsi="Times New Roman" w:cs="Times New Roman"/>
          <w:i/>
          <w:iCs/>
          <w:sz w:val="20"/>
          <w:szCs w:val="20"/>
          <w:highlight w:val="white"/>
        </w:rPr>
        <w:t>Eiropas kredītpunktu pārneses un uzkrāšanas sistēmas uzskaites vienība</w:t>
      </w:r>
      <w:bookmarkEnd w:id="6"/>
      <w:r>
        <w:rPr>
          <w:rFonts w:ascii="Times New Roman" w:eastAsia="Times New Roman" w:hAnsi="Times New Roman" w:cs="Times New Roman"/>
          <w:i/>
          <w:iCs/>
          <w:sz w:val="20"/>
          <w:szCs w:val="20"/>
          <w:highlight w:val="white"/>
        </w:rPr>
        <w:t>.</w:t>
      </w:r>
    </w:p>
  </w:footnote>
  <w:footnote w:id="24">
    <w:p w14:paraId="5D8A2982" w14:textId="77777777" w:rsidR="00AB05AE" w:rsidRDefault="004B7ED8">
      <w:pPr>
        <w:spacing w:after="0" w:line="240" w:lineRule="auto"/>
        <w:rPr>
          <w:sz w:val="20"/>
          <w:szCs w:val="20"/>
        </w:rPr>
      </w:pPr>
      <w:r>
        <w:rPr>
          <w:vertAlign w:val="superscript"/>
        </w:rPr>
        <w:footnoteRef/>
      </w:r>
      <w:r>
        <w:rPr>
          <w:rFonts w:ascii="Times New Roman" w:eastAsia="Times New Roman" w:hAnsi="Times New Roman" w:cs="Times New Roman"/>
          <w:i/>
          <w:iCs/>
          <w:sz w:val="20"/>
          <w:szCs w:val="20"/>
        </w:rPr>
        <w:t xml:space="preserve"> Standarti un vadlīnijas kvalitātes nodrošināšanai Eiropas augstākās izglītības telpā (ESG):</w:t>
      </w:r>
      <w:hyperlink r:id="rId28">
        <w:r w:rsidR="00AB05AE">
          <w:rPr>
            <w:rFonts w:ascii="Times New Roman" w:eastAsia="Times New Roman" w:hAnsi="Times New Roman" w:cs="Times New Roman"/>
            <w:i/>
            <w:iCs/>
            <w:color w:val="1155CC"/>
            <w:sz w:val="20"/>
            <w:szCs w:val="20"/>
            <w:u w:val="single"/>
          </w:rPr>
          <w:t>https://www.aika.lv/wp-content/uploads/2019/12/ESG_2015_latviski.pdf</w:t>
        </w:r>
      </w:hyperlink>
      <w:r>
        <w:rPr>
          <w:rFonts w:ascii="Times New Roman" w:eastAsia="Times New Roman" w:hAnsi="Times New Roman" w:cs="Times New Roman"/>
          <w:i/>
          <w:iCs/>
          <w:sz w:val="20"/>
          <w:szCs w:val="20"/>
        </w:rPr>
        <w:t xml:space="preserve"> </w:t>
      </w:r>
      <w:r>
        <w:rPr>
          <w:sz w:val="20"/>
          <w:szCs w:val="20"/>
        </w:rPr>
        <w:t xml:space="preserve"> </w:t>
      </w:r>
    </w:p>
  </w:footnote>
  <w:footnote w:id="25">
    <w:p w14:paraId="5D8A2983"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iCs/>
          <w:sz w:val="20"/>
          <w:szCs w:val="20"/>
        </w:rPr>
        <w:t xml:space="preserve">Noteikumi par valsts profesionālās augstākās izglītības standartu: </w:t>
      </w:r>
      <w:hyperlink r:id="rId29">
        <w:r w:rsidR="00AB05AE">
          <w:rPr>
            <w:rFonts w:ascii="Times New Roman" w:eastAsia="Times New Roman" w:hAnsi="Times New Roman" w:cs="Times New Roman"/>
            <w:i/>
            <w:iCs/>
            <w:color w:val="1155CC"/>
            <w:sz w:val="20"/>
            <w:szCs w:val="20"/>
            <w:u w:val="single"/>
          </w:rPr>
          <w:t>https://likumi.lv/ta/id/342818-noteikumi-par-valsts-profesionalas-augstakas-izglitibas-standartu</w:t>
        </w:r>
      </w:hyperlink>
      <w:r>
        <w:rPr>
          <w:rFonts w:ascii="Times New Roman" w:eastAsia="Times New Roman" w:hAnsi="Times New Roman" w:cs="Times New Roman"/>
          <w:i/>
          <w:iCs/>
          <w:sz w:val="20"/>
          <w:szCs w:val="20"/>
        </w:rPr>
        <w:t xml:space="preserve"> </w:t>
      </w:r>
    </w:p>
  </w:footnote>
  <w:footnote w:id="26">
    <w:p w14:paraId="5D8A2984"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iCs/>
          <w:sz w:val="20"/>
          <w:szCs w:val="20"/>
        </w:rPr>
        <w:t xml:space="preserve">Noteikumi par Latvijas izglītības klasifikāciju: </w:t>
      </w:r>
      <w:hyperlink r:id="rId30">
        <w:r w:rsidR="00AB05AE">
          <w:rPr>
            <w:rFonts w:ascii="Times New Roman" w:eastAsia="Times New Roman" w:hAnsi="Times New Roman" w:cs="Times New Roman"/>
            <w:i/>
            <w:iCs/>
            <w:color w:val="1155CC"/>
            <w:sz w:val="20"/>
            <w:szCs w:val="20"/>
            <w:u w:val="single"/>
          </w:rPr>
          <w:t>https://likumi.lv/ta/id/291524-noteikumi-par-latvijas-izglitibas-klasifikaciju</w:t>
        </w:r>
      </w:hyperlink>
      <w:r>
        <w:rPr>
          <w:rFonts w:ascii="Times New Roman" w:eastAsia="Times New Roman" w:hAnsi="Times New Roman" w:cs="Times New Roman"/>
          <w:sz w:val="20"/>
          <w:szCs w:val="20"/>
        </w:rPr>
        <w:t xml:space="preserve"> </w:t>
      </w:r>
    </w:p>
  </w:footnote>
  <w:footnote w:id="27">
    <w:p w14:paraId="5D8A2985"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Noteikumi par Attālināto mācību organizēšanas un īstenošanas kārtību: </w:t>
      </w:r>
      <w:hyperlink r:id="rId31">
        <w:r w:rsidR="00AB05AE">
          <w:rPr>
            <w:rFonts w:ascii="Times New Roman" w:eastAsia="Times New Roman" w:hAnsi="Times New Roman" w:cs="Times New Roman"/>
            <w:i/>
            <w:iCs/>
            <w:color w:val="1155CC"/>
            <w:sz w:val="20"/>
            <w:szCs w:val="20"/>
            <w:u w:val="single"/>
          </w:rPr>
          <w:t>https://likumi.lv/ta/id/329849-attalinato-macibu-organizesanas-un-istenosanas-kartiba</w:t>
        </w:r>
      </w:hyperlink>
      <w:r>
        <w:rPr>
          <w:rFonts w:ascii="Times New Roman" w:eastAsia="Times New Roman" w:hAnsi="Times New Roman" w:cs="Times New Roman"/>
          <w:i/>
          <w:iCs/>
          <w:sz w:val="20"/>
          <w:szCs w:val="20"/>
        </w:rPr>
        <w:t xml:space="preserve"> </w:t>
      </w:r>
    </w:p>
  </w:footnote>
  <w:footnote w:id="28">
    <w:p w14:paraId="5D8A2986"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Schultz, M., Young, K., K. Gunning, T., &amp; Harvey, M. L. (2022). Defining and measuring authentic assessment: a case study in the context of tertiary science. </w:t>
      </w:r>
      <w:r>
        <w:rPr>
          <w:rFonts w:ascii="Times New Roman" w:eastAsia="Times New Roman" w:hAnsi="Times New Roman" w:cs="Times New Roman"/>
          <w:i/>
          <w:iCs/>
          <w:sz w:val="20"/>
          <w:szCs w:val="20"/>
        </w:rPr>
        <w:t>Assessment &amp; Evaluation in Higher Education, 47</w:t>
      </w:r>
      <w:r>
        <w:rPr>
          <w:rFonts w:ascii="Times New Roman" w:eastAsia="Times New Roman" w:hAnsi="Times New Roman" w:cs="Times New Roman"/>
          <w:sz w:val="20"/>
          <w:szCs w:val="20"/>
        </w:rPr>
        <w:t>(1), 77–94. https://doi.org/10.1080/02602938.2021.1887811</w:t>
      </w:r>
    </w:p>
  </w:footnote>
  <w:footnote w:id="29">
    <w:p w14:paraId="5D8A2987"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Standarti un vadlīnijas kvalitātes nodrošināšanai Eiropas augstākās izglītības telpā (ESG):</w:t>
      </w:r>
      <w:hyperlink r:id="rId32">
        <w:r w:rsidR="00AB05AE">
          <w:rPr>
            <w:rFonts w:ascii="Times New Roman" w:eastAsia="Times New Roman" w:hAnsi="Times New Roman" w:cs="Times New Roman"/>
            <w:i/>
            <w:iCs/>
            <w:color w:val="1155CC"/>
            <w:sz w:val="20"/>
            <w:szCs w:val="20"/>
            <w:u w:val="single"/>
          </w:rPr>
          <w:t>https://www.aika.lv/wp-content/uploads/2019/12/ESG_2015_latviski.pdf</w:t>
        </w:r>
      </w:hyperlink>
      <w:r>
        <w:rPr>
          <w:rFonts w:ascii="Times New Roman" w:eastAsia="Times New Roman" w:hAnsi="Times New Roman" w:cs="Times New Roman"/>
          <w:i/>
          <w:iCs/>
          <w:sz w:val="20"/>
          <w:szCs w:val="20"/>
        </w:rPr>
        <w:t xml:space="preserve"> </w:t>
      </w:r>
    </w:p>
  </w:footnote>
  <w:footnote w:id="30">
    <w:p w14:paraId="5D8A2988"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iCs/>
          <w:sz w:val="20"/>
          <w:szCs w:val="20"/>
        </w:rPr>
        <w:t xml:space="preserve">Noteikumi par valsts profesionālās tālākizglītības un profesionālās pilnveides izglītības standartu: </w:t>
      </w:r>
      <w:hyperlink r:id="rId33">
        <w:r w:rsidR="00AB05AE">
          <w:rPr>
            <w:rFonts w:ascii="Times New Roman" w:eastAsia="Times New Roman" w:hAnsi="Times New Roman" w:cs="Times New Roman"/>
            <w:i/>
            <w:iCs/>
            <w:color w:val="1155CC"/>
            <w:sz w:val="20"/>
            <w:szCs w:val="20"/>
            <w:u w:val="single"/>
          </w:rPr>
          <w:t>https://likumi.lv/ta/id/349948-noteikumi-par-valsts-profesionalas-talakizglitibas-un-profesionalas-pilnveides-izglitibas-standartu%C2%A0</w:t>
        </w:r>
      </w:hyperlink>
      <w:r>
        <w:rPr>
          <w:rFonts w:ascii="Times New Roman" w:eastAsia="Times New Roman" w:hAnsi="Times New Roman" w:cs="Times New Roman"/>
          <w:i/>
          <w:iCs/>
          <w:sz w:val="20"/>
          <w:szCs w:val="20"/>
        </w:rPr>
        <w:t xml:space="preserve"> </w:t>
      </w:r>
    </w:p>
  </w:footnote>
  <w:footnote w:id="31">
    <w:p w14:paraId="5D8A2989"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Profesionālās tālākizglītības un profesionālās pilnveides programmu reģistrācijas vadlīnijas: </w:t>
      </w:r>
      <w:hyperlink r:id="rId34">
        <w:r w:rsidR="00AB05AE">
          <w:rPr>
            <w:rFonts w:ascii="Times New Roman" w:eastAsia="Times New Roman" w:hAnsi="Times New Roman" w:cs="Times New Roman"/>
            <w:i/>
            <w:iCs/>
            <w:color w:val="1155CC"/>
            <w:sz w:val="20"/>
            <w:szCs w:val="20"/>
            <w:u w:val="single"/>
          </w:rPr>
          <w:t>https://www.aika.lv/profesionalas-talakizglitibas-un-profesionalas-pilnveides-programmu-registracijas-vadlinijas/</w:t>
        </w:r>
      </w:hyperlink>
      <w:r>
        <w:rPr>
          <w:rFonts w:ascii="Times New Roman" w:eastAsia="Times New Roman" w:hAnsi="Times New Roman" w:cs="Times New Roman"/>
          <w:i/>
          <w:iCs/>
          <w:sz w:val="20"/>
          <w:szCs w:val="20"/>
        </w:rPr>
        <w:t xml:space="preserve"> </w:t>
      </w:r>
    </w:p>
  </w:footnote>
  <w:footnote w:id="32">
    <w:p w14:paraId="5D8A298A"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Profesionālās tālākizglītības un profesionālās pilnveides programmu reģistrācijas vadlīnijas:</w:t>
      </w:r>
    </w:p>
    <w:p w14:paraId="5D8A298B" w14:textId="77777777" w:rsidR="00AB05AE" w:rsidRDefault="00AB05AE">
      <w:pPr>
        <w:spacing w:after="0" w:line="240" w:lineRule="auto"/>
        <w:rPr>
          <w:rFonts w:ascii="Times New Roman" w:eastAsia="Times New Roman" w:hAnsi="Times New Roman" w:cs="Times New Roman"/>
          <w:i/>
          <w:iCs/>
          <w:sz w:val="20"/>
          <w:szCs w:val="20"/>
        </w:rPr>
      </w:pPr>
      <w:hyperlink r:id="rId35">
        <w:r>
          <w:rPr>
            <w:rFonts w:ascii="Times New Roman" w:eastAsia="Times New Roman" w:hAnsi="Times New Roman" w:cs="Times New Roman"/>
            <w:i/>
            <w:iCs/>
            <w:color w:val="1155CC"/>
            <w:sz w:val="20"/>
            <w:szCs w:val="20"/>
            <w:u w:val="single"/>
          </w:rPr>
          <w:t>https://www.aika.lv/profesionalas-talakizglitibas-un-profesionalas-pilnveides-programmu-registracijas-vadlinijas/</w:t>
        </w:r>
      </w:hyperlink>
      <w:r>
        <w:rPr>
          <w:rFonts w:ascii="Times New Roman" w:eastAsia="Times New Roman" w:hAnsi="Times New Roman" w:cs="Times New Roman"/>
          <w:i/>
          <w:iCs/>
          <w:sz w:val="20"/>
          <w:szCs w:val="20"/>
        </w:rPr>
        <w:t xml:space="preserve"> </w:t>
      </w:r>
    </w:p>
  </w:footnote>
  <w:footnote w:id="33">
    <w:p w14:paraId="5D8A298C"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w:t>
      </w:r>
      <w:hyperlink r:id="rId36">
        <w:r w:rsidR="00AB05AE">
          <w:rPr>
            <w:rFonts w:ascii="Times New Roman" w:eastAsia="Times New Roman" w:hAnsi="Times New Roman" w:cs="Times New Roman"/>
            <w:i/>
            <w:iCs/>
            <w:color w:val="1155CC"/>
            <w:sz w:val="20"/>
            <w:szCs w:val="20"/>
            <w:u w:val="single"/>
          </w:rPr>
          <w:t>STARS iespējas - Stars</w:t>
        </w:r>
      </w:hyperlink>
    </w:p>
  </w:footnote>
  <w:footnote w:id="34">
    <w:p w14:paraId="5D8A298D" w14:textId="77777777" w:rsidR="00AB05AE" w:rsidRDefault="004B7ED8">
      <w:pPr>
        <w:spacing w:after="0" w:line="240" w:lineRule="auto"/>
        <w:rPr>
          <w:sz w:val="20"/>
          <w:szCs w:val="20"/>
        </w:rPr>
      </w:pPr>
      <w:r>
        <w:rPr>
          <w:vertAlign w:val="superscript"/>
        </w:rPr>
        <w:footnoteRef/>
      </w:r>
      <w:r>
        <w:rPr>
          <w:sz w:val="20"/>
          <w:szCs w:val="20"/>
        </w:rPr>
        <w:t xml:space="preserve"> </w:t>
      </w:r>
      <w:hyperlink r:id="rId37">
        <w:r w:rsidR="00AB05AE">
          <w:rPr>
            <w:rFonts w:ascii="Times New Roman" w:eastAsia="Times New Roman" w:hAnsi="Times New Roman" w:cs="Times New Roman"/>
            <w:i/>
            <w:iCs/>
            <w:color w:val="1155CC"/>
            <w:sz w:val="20"/>
            <w:szCs w:val="20"/>
            <w:u w:val="single"/>
          </w:rPr>
          <w:t>Valsts atzītu profesionālo izglītību un profesionālo kvalifikāciju apliecinošu dokumentu, moduļa apliecību un profesionālās izglītības programmas daļas apguvi apliecinošu dokumentu noteikumi</w:t>
        </w:r>
      </w:hyperlink>
      <w:r>
        <w:rPr>
          <w:rFonts w:ascii="Times New Roman" w:eastAsia="Times New Roman" w:hAnsi="Times New Roman" w:cs="Times New Roman"/>
          <w:i/>
          <w:iCs/>
          <w:sz w:val="20"/>
          <w:szCs w:val="20"/>
        </w:rPr>
        <w:t xml:space="preserve"> </w:t>
      </w:r>
    </w:p>
  </w:footnote>
  <w:footnote w:id="35">
    <w:p w14:paraId="5D8A298E" w14:textId="77777777" w:rsidR="00AB05AE" w:rsidRDefault="004B7ED8">
      <w:pPr>
        <w:spacing w:after="0" w:line="240" w:lineRule="auto"/>
        <w:rPr>
          <w:i/>
          <w:iCs/>
          <w:sz w:val="16"/>
          <w:szCs w:val="16"/>
        </w:rPr>
      </w:pPr>
      <w:r>
        <w:rPr>
          <w:vertAlign w:val="superscript"/>
        </w:rPr>
        <w:footnoteRef/>
      </w:r>
      <w:r>
        <w:rPr>
          <w:sz w:val="20"/>
          <w:szCs w:val="20"/>
        </w:rPr>
        <w:t xml:space="preserve"> </w:t>
      </w:r>
      <w:hyperlink r:id="rId38">
        <w:r w:rsidR="00AB05AE">
          <w:rPr>
            <w:rFonts w:ascii="Times New Roman" w:eastAsia="Times New Roman" w:hAnsi="Times New Roman" w:cs="Times New Roman"/>
            <w:i/>
            <w:iCs/>
            <w:color w:val="1155CC"/>
            <w:sz w:val="20"/>
            <w:szCs w:val="20"/>
            <w:u w:val="single"/>
          </w:rPr>
          <w:t>Ārpus formālās izglītības apgūto vai profesionālajā pieredzē iegūto kompetenču un iepriekšējā izglītībā sasniegtu studiju rezultātu atzīšanas noteikumi</w:t>
        </w:r>
      </w:hyperlink>
    </w:p>
  </w:footnote>
  <w:footnote w:id="36">
    <w:p w14:paraId="5D8A298F" w14:textId="77777777" w:rsidR="00AB05AE" w:rsidRDefault="004B7ED8">
      <w:pPr>
        <w:spacing w:after="0" w:line="240" w:lineRule="auto"/>
        <w:rPr>
          <w:i/>
          <w:iCs/>
          <w:sz w:val="16"/>
          <w:szCs w:val="16"/>
        </w:rPr>
      </w:pPr>
      <w:r>
        <w:rPr>
          <w:vertAlign w:val="superscript"/>
        </w:rPr>
        <w:footnoteRef/>
      </w:r>
      <w:r>
        <w:rPr>
          <w:i/>
          <w:iCs/>
          <w:sz w:val="16"/>
          <w:szCs w:val="16"/>
        </w:rPr>
        <w:t xml:space="preserve"> </w:t>
      </w:r>
      <w:hyperlink r:id="rId39">
        <w:r w:rsidR="00AB05AE">
          <w:rPr>
            <w:rFonts w:ascii="Times New Roman" w:eastAsia="Times New Roman" w:hAnsi="Times New Roman" w:cs="Times New Roman"/>
            <w:i/>
            <w:iCs/>
            <w:color w:val="1155CC"/>
            <w:sz w:val="20"/>
            <w:szCs w:val="20"/>
            <w:u w:val="single"/>
          </w:rPr>
          <w:t>Ārpus formālās izglītības apgūto vai profesionālajā pieredzē iegūto kompetenču un iepriekšējā izglītībā sasniegtu studiju rezultātu atzīšanas noteikumi</w:t>
        </w:r>
      </w:hyperlink>
    </w:p>
  </w:footnote>
  <w:footnote w:id="37">
    <w:p w14:paraId="5D8A2990" w14:textId="77777777" w:rsidR="00AB05AE" w:rsidRDefault="004B7ED8">
      <w:pPr>
        <w:spacing w:after="0" w:line="240" w:lineRule="auto"/>
        <w:rPr>
          <w:i/>
          <w:iCs/>
          <w:sz w:val="16"/>
          <w:szCs w:val="16"/>
        </w:rPr>
      </w:pPr>
      <w:r>
        <w:rPr>
          <w:vertAlign w:val="superscript"/>
        </w:rPr>
        <w:footnoteRef/>
      </w:r>
      <w:r>
        <w:rPr>
          <w:i/>
          <w:iCs/>
          <w:sz w:val="16"/>
          <w:szCs w:val="16"/>
        </w:rPr>
        <w:t xml:space="preserve"> </w:t>
      </w:r>
      <w:hyperlink r:id="rId40">
        <w:r w:rsidR="00AB05AE">
          <w:rPr>
            <w:rFonts w:ascii="Times New Roman" w:eastAsia="Times New Roman" w:hAnsi="Times New Roman" w:cs="Times New Roman"/>
            <w:i/>
            <w:iCs/>
            <w:color w:val="1155CC"/>
            <w:sz w:val="20"/>
            <w:szCs w:val="20"/>
            <w:u w:val="single"/>
          </w:rPr>
          <w:t>Studiju uzsākšanas kārtība vēlākos studiju posmos</w:t>
        </w:r>
      </w:hyperlink>
    </w:p>
  </w:footnote>
  <w:footnote w:id="38">
    <w:p w14:paraId="5D8A2991"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w:t>
      </w:r>
      <w:hyperlink r:id="rId41">
        <w:r w:rsidR="00AB05AE">
          <w:rPr>
            <w:rFonts w:ascii="Times New Roman" w:eastAsia="Times New Roman" w:hAnsi="Times New Roman" w:cs="Times New Roman"/>
            <w:i/>
            <w:iCs/>
            <w:color w:val="1155CC"/>
            <w:sz w:val="20"/>
            <w:szCs w:val="20"/>
            <w:u w:val="single"/>
          </w:rPr>
          <w:t>Eiropas digitālie mācību apliecinājuma dokumenti | Europass</w:t>
        </w:r>
      </w:hyperlink>
    </w:p>
  </w:footnote>
  <w:footnote w:id="39">
    <w:p w14:paraId="1A667F9B" w14:textId="100F8964" w:rsidR="00BB1D2E" w:rsidRPr="00BB1D2E" w:rsidRDefault="00BB1D2E">
      <w:pPr>
        <w:pStyle w:val="FootnoteText"/>
        <w:rPr>
          <w:lang w:val="en-GB"/>
        </w:rPr>
      </w:pPr>
      <w:r>
        <w:rPr>
          <w:rStyle w:val="FootnoteReference"/>
        </w:rPr>
        <w:footnoteRef/>
      </w:r>
      <w:r>
        <w:t xml:space="preserve"> </w:t>
      </w:r>
      <w:hyperlink r:id="rId42" w:history="1">
        <w:r w:rsidR="001B0E36" w:rsidRPr="0039752C">
          <w:rPr>
            <w:rStyle w:val="Hyperlink"/>
          </w:rPr>
          <w:t>https://europass.europa.eu/en</w:t>
        </w:r>
      </w:hyperlink>
      <w:r w:rsidR="001B0E36">
        <w:t xml:space="preserve"> </w:t>
      </w:r>
    </w:p>
  </w:footnote>
  <w:footnote w:id="40">
    <w:p w14:paraId="5D8A2992"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w:t>
      </w:r>
      <w:hyperlink r:id="rId43">
        <w:r w:rsidR="00AB05AE">
          <w:rPr>
            <w:rFonts w:ascii="Times New Roman" w:eastAsia="Times New Roman" w:hAnsi="Times New Roman" w:cs="Times New Roman"/>
            <w:i/>
            <w:iCs/>
            <w:color w:val="1155CC"/>
            <w:sz w:val="20"/>
            <w:szCs w:val="20"/>
            <w:u w:val="single"/>
          </w:rPr>
          <w:t>STARS iespējas - Stars</w:t>
        </w:r>
      </w:hyperlink>
    </w:p>
  </w:footnote>
  <w:footnote w:id="41">
    <w:p w14:paraId="7793E8F6" w14:textId="5FF3C1FF" w:rsidR="00B34C34" w:rsidRPr="00435836" w:rsidRDefault="00B34C34">
      <w:pPr>
        <w:pStyle w:val="FootnoteText"/>
      </w:pPr>
      <w:r>
        <w:rPr>
          <w:rStyle w:val="FootnoteReference"/>
        </w:rPr>
        <w:footnoteRef/>
      </w:r>
      <w:r>
        <w:t xml:space="preserve"> </w:t>
      </w:r>
      <w:hyperlink r:id="rId44" w:history="1">
        <w:r w:rsidR="002542EB" w:rsidRPr="0039752C">
          <w:rPr>
            <w:rStyle w:val="Hyperlink"/>
          </w:rPr>
          <w:t>https://eur-lex.europa.eu/legal-content/LV/TXT/PDF/?uri=CELEX:32022H0627(02)</w:t>
        </w:r>
      </w:hyperlink>
      <w:r w:rsidR="002542EB">
        <w:t xml:space="preserve"> </w:t>
      </w:r>
    </w:p>
  </w:footnote>
  <w:footnote w:id="42">
    <w:p w14:paraId="5D8A2995" w14:textId="77777777" w:rsidR="00AB05AE" w:rsidRDefault="004B7ED8">
      <w:pPr>
        <w:spacing w:after="0" w:line="240" w:lineRule="auto"/>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i/>
          <w:iCs/>
          <w:sz w:val="20"/>
          <w:szCs w:val="20"/>
        </w:rPr>
        <w:t xml:space="preserve"> </w:t>
      </w:r>
      <w:hyperlink r:id="rId45">
        <w:r w:rsidR="00AB05AE">
          <w:rPr>
            <w:rFonts w:ascii="Times New Roman" w:eastAsia="Times New Roman" w:hAnsi="Times New Roman" w:cs="Times New Roman"/>
            <w:i/>
            <w:iCs/>
            <w:color w:val="1155CC"/>
            <w:sz w:val="20"/>
            <w:szCs w:val="20"/>
            <w:u w:val="single"/>
          </w:rPr>
          <w:t>PDSA Cycle - The W. Edwards Deming Institute</w:t>
        </w:r>
      </w:hyperlink>
    </w:p>
  </w:footnote>
  <w:footnote w:id="43">
    <w:p w14:paraId="5D8A2996" w14:textId="77777777" w:rsidR="00AB05AE" w:rsidRDefault="004B7ED8">
      <w:pPr>
        <w:spacing w:after="0" w:line="240" w:lineRule="auto"/>
        <w:rPr>
          <w:sz w:val="20"/>
          <w:szCs w:val="20"/>
        </w:rPr>
      </w:pPr>
      <w:r>
        <w:rPr>
          <w:vertAlign w:val="superscript"/>
        </w:rPr>
        <w:footnoteRef/>
      </w:r>
      <w:r>
        <w:rPr>
          <w:sz w:val="20"/>
          <w:szCs w:val="20"/>
        </w:rPr>
        <w:t xml:space="preserve"> </w:t>
      </w:r>
      <w:hyperlink r:id="rId46">
        <w:r w:rsidR="00AB05AE">
          <w:rPr>
            <w:color w:val="1155CC"/>
            <w:sz w:val="20"/>
            <w:szCs w:val="20"/>
            <w:u w:val="single"/>
          </w:rPr>
          <w:t>QUATRA_-_TPG_A_recommendations_on_micro-credentials_09.11_.2023_.pdf</w:t>
        </w:r>
      </w:hyperlink>
    </w:p>
  </w:footnote>
  <w:footnote w:id="44">
    <w:p w14:paraId="5D8A2997"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Cedefop. (2023). </w:t>
      </w:r>
      <w:r>
        <w:rPr>
          <w:rFonts w:ascii="Times New Roman" w:eastAsia="Times New Roman" w:hAnsi="Times New Roman" w:cs="Times New Roman"/>
          <w:i/>
          <w:iCs/>
          <w:sz w:val="20"/>
          <w:szCs w:val="20"/>
        </w:rPr>
        <w:t>Microcredentials for labour market education and training: Microcredentials and evolving qualifications systems</w:t>
      </w:r>
      <w:r>
        <w:rPr>
          <w:rFonts w:ascii="Times New Roman" w:eastAsia="Times New Roman" w:hAnsi="Times New Roman" w:cs="Times New Roman"/>
          <w:sz w:val="20"/>
          <w:szCs w:val="20"/>
        </w:rPr>
        <w:t xml:space="preserve"> (Cedefop Research Paper No. 89). Publications Office of the European Union. https://doi.org/10.2801/566352</w:t>
      </w:r>
    </w:p>
  </w:footnote>
  <w:footnote w:id="45">
    <w:p w14:paraId="5D8A2998"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ETF. (2023, May). </w:t>
      </w:r>
      <w:r>
        <w:rPr>
          <w:rFonts w:ascii="Times New Roman" w:eastAsia="Times New Roman" w:hAnsi="Times New Roman" w:cs="Times New Roman"/>
          <w:i/>
          <w:iCs/>
          <w:sz w:val="20"/>
          <w:szCs w:val="20"/>
        </w:rPr>
        <w:t>Guide to design, issue and recognise micro‑credentials: Micro‑Credential Guidelines Final Delivery</w:t>
      </w:r>
      <w:r>
        <w:rPr>
          <w:rFonts w:ascii="Times New Roman" w:eastAsia="Times New Roman" w:hAnsi="Times New Roman" w:cs="Times New Roman"/>
          <w:sz w:val="20"/>
          <w:szCs w:val="20"/>
        </w:rPr>
        <w:t xml:space="preserve"> (ETF).</w:t>
      </w:r>
      <w:hyperlink r:id="rId47">
        <w:r w:rsidR="00AB05AE">
          <w:rPr>
            <w:rFonts w:ascii="Times New Roman" w:eastAsia="Times New Roman" w:hAnsi="Times New Roman" w:cs="Times New Roman"/>
            <w:sz w:val="20"/>
            <w:szCs w:val="20"/>
          </w:rPr>
          <w:t xml:space="preserve"> </w:t>
        </w:r>
      </w:hyperlink>
      <w:hyperlink r:id="rId48">
        <w:r w:rsidR="00AB05AE">
          <w:rPr>
            <w:rFonts w:ascii="Times New Roman" w:eastAsia="Times New Roman" w:hAnsi="Times New Roman" w:cs="Times New Roman"/>
            <w:color w:val="1155CC"/>
            <w:sz w:val="20"/>
            <w:szCs w:val="20"/>
            <w:u w:val="single"/>
          </w:rPr>
          <w:t>https://www.etf.europa.eu/sites/default/files/2023-05/Micro-Credential%20Guidelines%20Final%20Delivery.pdf</w:t>
        </w:r>
      </w:hyperlink>
    </w:p>
  </w:footnote>
  <w:footnote w:id="46">
    <w:p w14:paraId="5D8A2999"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Digivisio2030. (n.d.). </w:t>
      </w:r>
      <w:r>
        <w:rPr>
          <w:rFonts w:ascii="Times New Roman" w:eastAsia="Times New Roman" w:hAnsi="Times New Roman" w:cs="Times New Roman"/>
          <w:i/>
          <w:iCs/>
          <w:sz w:val="20"/>
          <w:szCs w:val="20"/>
        </w:rPr>
        <w:t>Front page – Digivisio2030</w:t>
      </w:r>
      <w:r>
        <w:rPr>
          <w:rFonts w:ascii="Times New Roman" w:eastAsia="Times New Roman" w:hAnsi="Times New Roman" w:cs="Times New Roman"/>
          <w:sz w:val="20"/>
          <w:szCs w:val="20"/>
        </w:rPr>
        <w:t>.</w:t>
      </w:r>
      <w:hyperlink r:id="rId49">
        <w:r w:rsidR="00AB05AE">
          <w:rPr>
            <w:rFonts w:ascii="Times New Roman" w:eastAsia="Times New Roman" w:hAnsi="Times New Roman" w:cs="Times New Roman"/>
            <w:sz w:val="20"/>
            <w:szCs w:val="20"/>
          </w:rPr>
          <w:t xml:space="preserve"> </w:t>
        </w:r>
      </w:hyperlink>
      <w:hyperlink r:id="rId50">
        <w:r w:rsidR="00AB05AE">
          <w:rPr>
            <w:rFonts w:ascii="Times New Roman" w:eastAsia="Times New Roman" w:hAnsi="Times New Roman" w:cs="Times New Roman"/>
            <w:color w:val="1155CC"/>
            <w:sz w:val="20"/>
            <w:szCs w:val="20"/>
            <w:u w:val="single"/>
          </w:rPr>
          <w:t>https://digivisio2030.fi/en</w:t>
        </w:r>
      </w:hyperlink>
    </w:p>
  </w:footnote>
  <w:footnote w:id="47">
    <w:p w14:paraId="5D8A299A"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MicroCreds. (n.d.). </w:t>
      </w:r>
      <w:r>
        <w:rPr>
          <w:rFonts w:ascii="Times New Roman" w:eastAsia="Times New Roman" w:hAnsi="Times New Roman" w:cs="Times New Roman"/>
          <w:i/>
          <w:iCs/>
          <w:sz w:val="20"/>
          <w:szCs w:val="20"/>
        </w:rPr>
        <w:t>Ireland’s national micro‑credential project</w:t>
      </w:r>
      <w:r>
        <w:rPr>
          <w:rFonts w:ascii="Times New Roman" w:eastAsia="Times New Roman" w:hAnsi="Times New Roman" w:cs="Times New Roman"/>
          <w:sz w:val="20"/>
          <w:szCs w:val="20"/>
        </w:rPr>
        <w:t>.</w:t>
      </w:r>
      <w:hyperlink r:id="rId51">
        <w:r w:rsidR="00AB05AE">
          <w:rPr>
            <w:rFonts w:ascii="Times New Roman" w:eastAsia="Times New Roman" w:hAnsi="Times New Roman" w:cs="Times New Roman"/>
            <w:sz w:val="20"/>
            <w:szCs w:val="20"/>
          </w:rPr>
          <w:t xml:space="preserve"> </w:t>
        </w:r>
      </w:hyperlink>
      <w:hyperlink r:id="rId52">
        <w:r w:rsidR="00AB05AE">
          <w:rPr>
            <w:rFonts w:ascii="Times New Roman" w:eastAsia="Times New Roman" w:hAnsi="Times New Roman" w:cs="Times New Roman"/>
            <w:color w:val="1155CC"/>
            <w:sz w:val="20"/>
            <w:szCs w:val="20"/>
            <w:u w:val="single"/>
          </w:rPr>
          <w:t>https://microcreds.ie</w:t>
        </w:r>
      </w:hyperlink>
    </w:p>
  </w:footnote>
  <w:footnote w:id="48">
    <w:p w14:paraId="5D8A299B"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Tartu University. (n.d.). </w:t>
      </w:r>
      <w:r>
        <w:rPr>
          <w:rFonts w:ascii="Times New Roman" w:eastAsia="Times New Roman" w:hAnsi="Times New Roman" w:cs="Times New Roman"/>
          <w:i/>
          <w:iCs/>
          <w:sz w:val="20"/>
          <w:szCs w:val="20"/>
        </w:rPr>
        <w:t>Micro-credential programmes</w:t>
      </w:r>
      <w:r>
        <w:rPr>
          <w:rFonts w:ascii="Times New Roman" w:eastAsia="Times New Roman" w:hAnsi="Times New Roman" w:cs="Times New Roman"/>
          <w:sz w:val="20"/>
          <w:szCs w:val="20"/>
        </w:rPr>
        <w:t>.</w:t>
      </w:r>
      <w:hyperlink r:id="rId53">
        <w:r w:rsidR="00AB05AE">
          <w:rPr>
            <w:rFonts w:ascii="Times New Roman" w:eastAsia="Times New Roman" w:hAnsi="Times New Roman" w:cs="Times New Roman"/>
            <w:sz w:val="20"/>
            <w:szCs w:val="20"/>
          </w:rPr>
          <w:t xml:space="preserve"> </w:t>
        </w:r>
      </w:hyperlink>
      <w:hyperlink r:id="rId54">
        <w:r w:rsidR="00AB05AE">
          <w:rPr>
            <w:rFonts w:ascii="Times New Roman" w:eastAsia="Times New Roman" w:hAnsi="Times New Roman" w:cs="Times New Roman"/>
            <w:color w:val="1155CC"/>
            <w:sz w:val="20"/>
            <w:szCs w:val="20"/>
            <w:u w:val="single"/>
          </w:rPr>
          <w:t>https://ut.ee/en/content/micro-credential-programmes</w:t>
        </w:r>
      </w:hyperlink>
    </w:p>
  </w:footnote>
  <w:footnote w:id="49">
    <w:p w14:paraId="5D8A299C"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Versnellingsplan. (2023). </w:t>
      </w:r>
      <w:r>
        <w:rPr>
          <w:rFonts w:ascii="Times New Roman" w:eastAsia="Times New Roman" w:hAnsi="Times New Roman" w:cs="Times New Roman"/>
          <w:i/>
          <w:iCs/>
          <w:sz w:val="20"/>
          <w:szCs w:val="20"/>
        </w:rPr>
        <w:t>Pilot microcredentials in higher education</w:t>
      </w:r>
      <w:r>
        <w:rPr>
          <w:rFonts w:ascii="Times New Roman" w:eastAsia="Times New Roman" w:hAnsi="Times New Roman" w:cs="Times New Roman"/>
          <w:sz w:val="20"/>
          <w:szCs w:val="20"/>
        </w:rPr>
        <w:t>.</w:t>
      </w:r>
      <w:hyperlink r:id="rId55">
        <w:r w:rsidR="00AB05AE">
          <w:rPr>
            <w:rFonts w:ascii="Times New Roman" w:eastAsia="Times New Roman" w:hAnsi="Times New Roman" w:cs="Times New Roman"/>
            <w:sz w:val="20"/>
            <w:szCs w:val="20"/>
          </w:rPr>
          <w:t xml:space="preserve"> </w:t>
        </w:r>
      </w:hyperlink>
      <w:hyperlink r:id="rId56">
        <w:r w:rsidR="00AB05AE">
          <w:rPr>
            <w:rFonts w:ascii="Times New Roman" w:eastAsia="Times New Roman" w:hAnsi="Times New Roman" w:cs="Times New Roman"/>
            <w:color w:val="1155CC"/>
            <w:sz w:val="20"/>
            <w:szCs w:val="20"/>
            <w:u w:val="single"/>
          </w:rPr>
          <w:t>https://www.versnellingsplan.nl/en/Kennisbank/pilot-microcredentials</w:t>
        </w:r>
      </w:hyperlink>
    </w:p>
  </w:footnote>
  <w:footnote w:id="50">
    <w:p w14:paraId="5D8A299D" w14:textId="77777777" w:rsidR="00AB05AE" w:rsidRDefault="004B7ED8">
      <w:pPr>
        <w:spacing w:after="0"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Department of Education Australia. (n.d.). </w:t>
      </w:r>
      <w:r>
        <w:rPr>
          <w:rFonts w:ascii="Times New Roman" w:eastAsia="Times New Roman" w:hAnsi="Times New Roman" w:cs="Times New Roman"/>
          <w:i/>
          <w:iCs/>
          <w:sz w:val="20"/>
          <w:szCs w:val="20"/>
        </w:rPr>
        <w:t>National Microcredentials Framework</w:t>
      </w:r>
      <w:r>
        <w:rPr>
          <w:rFonts w:ascii="Times New Roman" w:eastAsia="Times New Roman" w:hAnsi="Times New Roman" w:cs="Times New Roman"/>
          <w:sz w:val="20"/>
          <w:szCs w:val="20"/>
        </w:rPr>
        <w:t>.</w:t>
      </w:r>
      <w:hyperlink r:id="rId57">
        <w:r w:rsidR="00AB05AE">
          <w:rPr>
            <w:rFonts w:ascii="Times New Roman" w:eastAsia="Times New Roman" w:hAnsi="Times New Roman" w:cs="Times New Roman"/>
            <w:sz w:val="20"/>
            <w:szCs w:val="20"/>
          </w:rPr>
          <w:t xml:space="preserve"> </w:t>
        </w:r>
      </w:hyperlink>
      <w:hyperlink r:id="rId58">
        <w:r w:rsidR="00AB05AE">
          <w:rPr>
            <w:rFonts w:ascii="Times New Roman" w:eastAsia="Times New Roman" w:hAnsi="Times New Roman" w:cs="Times New Roman"/>
            <w:color w:val="1155CC"/>
            <w:sz w:val="20"/>
            <w:szCs w:val="20"/>
            <w:u w:val="single"/>
          </w:rPr>
          <w:t>https://www.education.gov.au/download/13591/national-microcredentials-framework/26500/document/pdf</w:t>
        </w:r>
      </w:hyperlink>
    </w:p>
  </w:footnote>
  <w:footnote w:id="51">
    <w:p w14:paraId="5D8A299E" w14:textId="77777777" w:rsidR="00AB05AE" w:rsidRDefault="004B7ED8">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New Zealand Qualifications Authority. (2024). </w:t>
      </w:r>
      <w:r>
        <w:rPr>
          <w:rFonts w:ascii="Times New Roman" w:eastAsia="Times New Roman" w:hAnsi="Times New Roman" w:cs="Times New Roman"/>
          <w:i/>
          <w:iCs/>
          <w:sz w:val="20"/>
          <w:szCs w:val="20"/>
        </w:rPr>
        <w:t>Aotearoa New Zealand’s early micro‑credentials journey</w:t>
      </w:r>
      <w:r>
        <w:rPr>
          <w:rFonts w:ascii="Times New Roman" w:eastAsia="Times New Roman" w:hAnsi="Times New Roman" w:cs="Times New Roman"/>
          <w:sz w:val="20"/>
          <w:szCs w:val="20"/>
        </w:rPr>
        <w:t>.</w:t>
      </w:r>
      <w:hyperlink r:id="rId59">
        <w:r w:rsidR="00AB05AE">
          <w:rPr>
            <w:rFonts w:ascii="Times New Roman" w:eastAsia="Times New Roman" w:hAnsi="Times New Roman" w:cs="Times New Roman"/>
            <w:sz w:val="20"/>
            <w:szCs w:val="20"/>
          </w:rPr>
          <w:t xml:space="preserve"> </w:t>
        </w:r>
      </w:hyperlink>
      <w:hyperlink r:id="rId60">
        <w:r w:rsidR="00AB05AE">
          <w:rPr>
            <w:rFonts w:ascii="Times New Roman" w:eastAsia="Times New Roman" w:hAnsi="Times New Roman" w:cs="Times New Roman"/>
            <w:color w:val="1155CC"/>
            <w:sz w:val="20"/>
            <w:szCs w:val="20"/>
            <w:u w:val="single"/>
          </w:rPr>
          <w:t>https://www2.nzqa.govt.nz/about-us/publications/insights-papers/improving-relevance-and-responsiveness-2/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48D"/>
    <w:multiLevelType w:val="multilevel"/>
    <w:tmpl w:val="4F28459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7834BB8"/>
    <w:multiLevelType w:val="hybridMultilevel"/>
    <w:tmpl w:val="49B63F90"/>
    <w:lvl w:ilvl="0" w:tplc="972E6820">
      <w:start w:val="1"/>
      <w:numFmt w:val="decimal"/>
      <w:lvlText w:val="%1."/>
      <w:lvlJc w:val="left"/>
      <w:pPr>
        <w:ind w:left="540" w:hanging="360"/>
      </w:pPr>
      <w:rPr>
        <w:rFonts w:ascii="Times New Roman" w:hAnsi="Times New Roman" w:hint="default"/>
        <w:b/>
        <w:i w:val="0"/>
        <w:color w:val="000000" w:themeColor="text1"/>
        <w:sz w:val="28"/>
      </w:rPr>
    </w:lvl>
    <w:lvl w:ilvl="1" w:tplc="04260019" w:tentative="1">
      <w:start w:val="1"/>
      <w:numFmt w:val="lowerLetter"/>
      <w:lvlText w:val="%2."/>
      <w:lvlJc w:val="left"/>
      <w:pPr>
        <w:ind w:left="1260" w:hanging="360"/>
      </w:pPr>
    </w:lvl>
    <w:lvl w:ilvl="2" w:tplc="0426001B" w:tentative="1">
      <w:start w:val="1"/>
      <w:numFmt w:val="lowerRoman"/>
      <w:lvlText w:val="%3."/>
      <w:lvlJc w:val="right"/>
      <w:pPr>
        <w:ind w:left="1980" w:hanging="180"/>
      </w:pPr>
    </w:lvl>
    <w:lvl w:ilvl="3" w:tplc="0426000F" w:tentative="1">
      <w:start w:val="1"/>
      <w:numFmt w:val="decimal"/>
      <w:lvlText w:val="%4."/>
      <w:lvlJc w:val="left"/>
      <w:pPr>
        <w:ind w:left="2700" w:hanging="360"/>
      </w:pPr>
    </w:lvl>
    <w:lvl w:ilvl="4" w:tplc="04260019" w:tentative="1">
      <w:start w:val="1"/>
      <w:numFmt w:val="lowerLetter"/>
      <w:lvlText w:val="%5."/>
      <w:lvlJc w:val="left"/>
      <w:pPr>
        <w:ind w:left="3420" w:hanging="360"/>
      </w:pPr>
    </w:lvl>
    <w:lvl w:ilvl="5" w:tplc="0426001B" w:tentative="1">
      <w:start w:val="1"/>
      <w:numFmt w:val="lowerRoman"/>
      <w:lvlText w:val="%6."/>
      <w:lvlJc w:val="right"/>
      <w:pPr>
        <w:ind w:left="4140" w:hanging="180"/>
      </w:pPr>
    </w:lvl>
    <w:lvl w:ilvl="6" w:tplc="0426000F" w:tentative="1">
      <w:start w:val="1"/>
      <w:numFmt w:val="decimal"/>
      <w:lvlText w:val="%7."/>
      <w:lvlJc w:val="left"/>
      <w:pPr>
        <w:ind w:left="4860" w:hanging="360"/>
      </w:pPr>
    </w:lvl>
    <w:lvl w:ilvl="7" w:tplc="04260019" w:tentative="1">
      <w:start w:val="1"/>
      <w:numFmt w:val="lowerLetter"/>
      <w:lvlText w:val="%8."/>
      <w:lvlJc w:val="left"/>
      <w:pPr>
        <w:ind w:left="5580" w:hanging="360"/>
      </w:pPr>
    </w:lvl>
    <w:lvl w:ilvl="8" w:tplc="0426001B" w:tentative="1">
      <w:start w:val="1"/>
      <w:numFmt w:val="lowerRoman"/>
      <w:lvlText w:val="%9."/>
      <w:lvlJc w:val="right"/>
      <w:pPr>
        <w:ind w:left="6300" w:hanging="180"/>
      </w:pPr>
    </w:lvl>
  </w:abstractNum>
  <w:abstractNum w:abstractNumId="2" w15:restartNumberingAfterBreak="0">
    <w:nsid w:val="118D140E"/>
    <w:multiLevelType w:val="hybridMultilevel"/>
    <w:tmpl w:val="FFC6E7DE"/>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8424169"/>
    <w:multiLevelType w:val="multilevel"/>
    <w:tmpl w:val="8B4C8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9A5A97"/>
    <w:multiLevelType w:val="multilevel"/>
    <w:tmpl w:val="20C0C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402677"/>
    <w:multiLevelType w:val="multilevel"/>
    <w:tmpl w:val="B596E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D251E9"/>
    <w:multiLevelType w:val="multilevel"/>
    <w:tmpl w:val="3AE82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EC7B51"/>
    <w:multiLevelType w:val="multilevel"/>
    <w:tmpl w:val="6C800016"/>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953E70"/>
    <w:multiLevelType w:val="multilevel"/>
    <w:tmpl w:val="B5B683EE"/>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876BE6"/>
    <w:multiLevelType w:val="multilevel"/>
    <w:tmpl w:val="45789D72"/>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090549"/>
    <w:multiLevelType w:val="multilevel"/>
    <w:tmpl w:val="FC24A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4C23ADA"/>
    <w:multiLevelType w:val="multilevel"/>
    <w:tmpl w:val="0AF0E4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95A62AD"/>
    <w:multiLevelType w:val="multilevel"/>
    <w:tmpl w:val="A54E1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99A0257"/>
    <w:multiLevelType w:val="multilevel"/>
    <w:tmpl w:val="25B030D8"/>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1F6608"/>
    <w:multiLevelType w:val="multilevel"/>
    <w:tmpl w:val="5FC20614"/>
    <w:lvl w:ilvl="0">
      <w:start w:val="1"/>
      <w:numFmt w:val="decimal"/>
      <w:lvlText w:val="%1."/>
      <w:lvlJc w:val="left"/>
      <w:pPr>
        <w:ind w:left="720" w:hanging="360"/>
      </w:pPr>
      <w:rPr>
        <w:rFonts w:ascii="Times New Roman" w:hAnsi="Times New Roman" w:hint="default"/>
        <w:b/>
        <w:i w:val="0"/>
        <w:color w:val="000000" w:themeColor="text1"/>
        <w:sz w:val="28"/>
      </w:rPr>
    </w:lvl>
    <w:lvl w:ilvl="1">
      <w:start w:val="1"/>
      <w:numFmt w:val="decimal"/>
      <w:lvlText w:val="%2."/>
      <w:lvlJc w:val="left"/>
      <w:pPr>
        <w:ind w:left="720" w:hanging="360"/>
      </w:pPr>
      <w:rPr>
        <w:rFonts w:ascii="Times New Roman" w:hAnsi="Times New Roman" w:hint="default"/>
        <w:b/>
        <w:i w:val="0"/>
        <w:color w:val="000000" w:themeColor="text1"/>
        <w:sz w:val="28"/>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080" w:hanging="720"/>
      </w:pPr>
      <w:rPr>
        <w:rFonts w:hint="default"/>
        <w:color w:val="0F4761" w:themeColor="accent1" w:themeShade="BF"/>
      </w:rPr>
    </w:lvl>
    <w:lvl w:ilvl="4">
      <w:start w:val="1"/>
      <w:numFmt w:val="decimal"/>
      <w:isLgl/>
      <w:lvlText w:val="%1.%2.%3.%4.%5."/>
      <w:lvlJc w:val="left"/>
      <w:pPr>
        <w:ind w:left="1440" w:hanging="1080"/>
      </w:pPr>
      <w:rPr>
        <w:rFonts w:hint="default"/>
        <w:color w:val="0F4761" w:themeColor="accent1" w:themeShade="BF"/>
      </w:rPr>
    </w:lvl>
    <w:lvl w:ilvl="5">
      <w:start w:val="1"/>
      <w:numFmt w:val="decimal"/>
      <w:isLgl/>
      <w:lvlText w:val="%1.%2.%3.%4.%5.%6."/>
      <w:lvlJc w:val="left"/>
      <w:pPr>
        <w:ind w:left="1440" w:hanging="1080"/>
      </w:pPr>
      <w:rPr>
        <w:rFonts w:hint="default"/>
        <w:color w:val="0F4761" w:themeColor="accent1" w:themeShade="BF"/>
      </w:rPr>
    </w:lvl>
    <w:lvl w:ilvl="6">
      <w:start w:val="1"/>
      <w:numFmt w:val="decimal"/>
      <w:isLgl/>
      <w:lvlText w:val="%1.%2.%3.%4.%5.%6.%7."/>
      <w:lvlJc w:val="left"/>
      <w:pPr>
        <w:ind w:left="1800" w:hanging="1440"/>
      </w:pPr>
      <w:rPr>
        <w:rFonts w:hint="default"/>
        <w:color w:val="0F4761" w:themeColor="accent1" w:themeShade="BF"/>
      </w:rPr>
    </w:lvl>
    <w:lvl w:ilvl="7">
      <w:start w:val="1"/>
      <w:numFmt w:val="decimal"/>
      <w:isLgl/>
      <w:lvlText w:val="%1.%2.%3.%4.%5.%6.%7.%8."/>
      <w:lvlJc w:val="left"/>
      <w:pPr>
        <w:ind w:left="1800" w:hanging="1440"/>
      </w:pPr>
      <w:rPr>
        <w:rFonts w:hint="default"/>
        <w:color w:val="0F4761" w:themeColor="accent1" w:themeShade="BF"/>
      </w:rPr>
    </w:lvl>
    <w:lvl w:ilvl="8">
      <w:start w:val="1"/>
      <w:numFmt w:val="decimal"/>
      <w:isLgl/>
      <w:lvlText w:val="%1.%2.%3.%4.%5.%6.%7.%8.%9."/>
      <w:lvlJc w:val="left"/>
      <w:pPr>
        <w:ind w:left="2160" w:hanging="1800"/>
      </w:pPr>
      <w:rPr>
        <w:rFonts w:hint="default"/>
        <w:color w:val="0F4761" w:themeColor="accent1" w:themeShade="BF"/>
      </w:rPr>
    </w:lvl>
  </w:abstractNum>
  <w:abstractNum w:abstractNumId="15" w15:restartNumberingAfterBreak="0">
    <w:nsid w:val="3D1C1DAA"/>
    <w:multiLevelType w:val="multilevel"/>
    <w:tmpl w:val="DF705F04"/>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FE8693A"/>
    <w:multiLevelType w:val="multilevel"/>
    <w:tmpl w:val="2CB46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B15EC4"/>
    <w:multiLevelType w:val="multilevel"/>
    <w:tmpl w:val="63A4007C"/>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6E2672"/>
    <w:multiLevelType w:val="multilevel"/>
    <w:tmpl w:val="5D18B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B3037F9"/>
    <w:multiLevelType w:val="multilevel"/>
    <w:tmpl w:val="124424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DF03C29"/>
    <w:multiLevelType w:val="multilevel"/>
    <w:tmpl w:val="D7BCE69E"/>
    <w:lvl w:ilvl="0">
      <w:start w:val="1"/>
      <w:numFmt w:val="decimal"/>
      <w:lvlText w:val="%1."/>
      <w:lvlJc w:val="left"/>
      <w:pPr>
        <w:ind w:left="720" w:hanging="360"/>
      </w:pPr>
      <w:rPr>
        <w:rFonts w:ascii="Times New Roman" w:hAnsi="Times New Roman" w:hint="default"/>
        <w:b/>
        <w:i w:val="0"/>
        <w:color w:val="000000" w:themeColor="text1"/>
        <w:sz w:val="28"/>
      </w:rPr>
    </w:lvl>
    <w:lvl w:ilvl="1">
      <w:start w:val="1"/>
      <w:numFmt w:val="decimal"/>
      <w:isLgl/>
      <w:lvlText w:val="%1.%2."/>
      <w:lvlJc w:val="left"/>
      <w:pPr>
        <w:ind w:left="720" w:hanging="360"/>
      </w:pPr>
      <w:rPr>
        <w:rFonts w:hint="default"/>
        <w:color w:val="0F4761" w:themeColor="accent1" w:themeShade="BF"/>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080" w:hanging="720"/>
      </w:pPr>
      <w:rPr>
        <w:rFonts w:hint="default"/>
        <w:color w:val="0F4761" w:themeColor="accent1" w:themeShade="BF"/>
      </w:rPr>
    </w:lvl>
    <w:lvl w:ilvl="4">
      <w:start w:val="1"/>
      <w:numFmt w:val="decimal"/>
      <w:isLgl/>
      <w:lvlText w:val="%1.%2.%3.%4.%5."/>
      <w:lvlJc w:val="left"/>
      <w:pPr>
        <w:ind w:left="1440" w:hanging="1080"/>
      </w:pPr>
      <w:rPr>
        <w:rFonts w:hint="default"/>
        <w:color w:val="0F4761" w:themeColor="accent1" w:themeShade="BF"/>
      </w:rPr>
    </w:lvl>
    <w:lvl w:ilvl="5">
      <w:start w:val="1"/>
      <w:numFmt w:val="decimal"/>
      <w:isLgl/>
      <w:lvlText w:val="%1.%2.%3.%4.%5.%6."/>
      <w:lvlJc w:val="left"/>
      <w:pPr>
        <w:ind w:left="1440" w:hanging="1080"/>
      </w:pPr>
      <w:rPr>
        <w:rFonts w:hint="default"/>
        <w:color w:val="0F4761" w:themeColor="accent1" w:themeShade="BF"/>
      </w:rPr>
    </w:lvl>
    <w:lvl w:ilvl="6">
      <w:start w:val="1"/>
      <w:numFmt w:val="decimal"/>
      <w:isLgl/>
      <w:lvlText w:val="%1.%2.%3.%4.%5.%6.%7."/>
      <w:lvlJc w:val="left"/>
      <w:pPr>
        <w:ind w:left="1800" w:hanging="1440"/>
      </w:pPr>
      <w:rPr>
        <w:rFonts w:hint="default"/>
        <w:color w:val="0F4761" w:themeColor="accent1" w:themeShade="BF"/>
      </w:rPr>
    </w:lvl>
    <w:lvl w:ilvl="7">
      <w:start w:val="1"/>
      <w:numFmt w:val="decimal"/>
      <w:isLgl/>
      <w:lvlText w:val="%1.%2.%3.%4.%5.%6.%7.%8."/>
      <w:lvlJc w:val="left"/>
      <w:pPr>
        <w:ind w:left="1800" w:hanging="1440"/>
      </w:pPr>
      <w:rPr>
        <w:rFonts w:hint="default"/>
        <w:color w:val="0F4761" w:themeColor="accent1" w:themeShade="BF"/>
      </w:rPr>
    </w:lvl>
    <w:lvl w:ilvl="8">
      <w:start w:val="1"/>
      <w:numFmt w:val="decimal"/>
      <w:isLgl/>
      <w:lvlText w:val="%1.%2.%3.%4.%5.%6.%7.%8.%9."/>
      <w:lvlJc w:val="left"/>
      <w:pPr>
        <w:ind w:left="2160" w:hanging="1800"/>
      </w:pPr>
      <w:rPr>
        <w:rFonts w:hint="default"/>
        <w:color w:val="0F4761" w:themeColor="accent1" w:themeShade="BF"/>
      </w:rPr>
    </w:lvl>
  </w:abstractNum>
  <w:abstractNum w:abstractNumId="21" w15:restartNumberingAfterBreak="0">
    <w:nsid w:val="5A146E61"/>
    <w:multiLevelType w:val="multilevel"/>
    <w:tmpl w:val="90DE12AE"/>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B284DE8"/>
    <w:multiLevelType w:val="multilevel"/>
    <w:tmpl w:val="E8440CEA"/>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5EB75D66"/>
    <w:multiLevelType w:val="multilevel"/>
    <w:tmpl w:val="21621CB8"/>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74C1D40"/>
    <w:multiLevelType w:val="multilevel"/>
    <w:tmpl w:val="9DE4B7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8972DBB"/>
    <w:multiLevelType w:val="multilevel"/>
    <w:tmpl w:val="40046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FFF5E00"/>
    <w:multiLevelType w:val="multilevel"/>
    <w:tmpl w:val="002E2C92"/>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13E39D2"/>
    <w:multiLevelType w:val="multilevel"/>
    <w:tmpl w:val="F5D6B4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89409CF"/>
    <w:multiLevelType w:val="multilevel"/>
    <w:tmpl w:val="8B2A4B72"/>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D422575"/>
    <w:multiLevelType w:val="multilevel"/>
    <w:tmpl w:val="5C5218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E316C06"/>
    <w:multiLevelType w:val="multilevel"/>
    <w:tmpl w:val="534AC5FC"/>
    <w:lvl w:ilvl="0">
      <w:start w:val="1"/>
      <w:numFmt w:val="decimal"/>
      <w:lvlText w:val="%1."/>
      <w:lvlJc w:val="left"/>
      <w:pPr>
        <w:ind w:left="720" w:hanging="360"/>
      </w:pPr>
      <w:rPr>
        <w:rFonts w:ascii="Times New Roman" w:hAnsi="Times New Roman" w:hint="default"/>
        <w:b/>
        <w:i w:val="0"/>
        <w:color w:val="000000" w:themeColor="text1"/>
        <w:sz w:val="28"/>
      </w:rPr>
    </w:lvl>
    <w:lvl w:ilvl="1">
      <w:start w:val="1"/>
      <w:numFmt w:val="decimal"/>
      <w:lvlText w:val="%2."/>
      <w:lvlJc w:val="left"/>
      <w:pPr>
        <w:ind w:left="720" w:hanging="360"/>
      </w:pPr>
      <w:rPr>
        <w:rFonts w:ascii="Times New Roman" w:hAnsi="Times New Roman" w:hint="default"/>
        <w:b/>
        <w:i w:val="0"/>
        <w:color w:val="000000" w:themeColor="text1"/>
        <w:sz w:val="28"/>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080" w:hanging="720"/>
      </w:pPr>
      <w:rPr>
        <w:rFonts w:hint="default"/>
        <w:color w:val="0F4761" w:themeColor="accent1" w:themeShade="BF"/>
      </w:rPr>
    </w:lvl>
    <w:lvl w:ilvl="4">
      <w:start w:val="1"/>
      <w:numFmt w:val="decimal"/>
      <w:isLgl/>
      <w:lvlText w:val="%1.%2.%3.%4.%5."/>
      <w:lvlJc w:val="left"/>
      <w:pPr>
        <w:ind w:left="1440" w:hanging="1080"/>
      </w:pPr>
      <w:rPr>
        <w:rFonts w:hint="default"/>
        <w:color w:val="0F4761" w:themeColor="accent1" w:themeShade="BF"/>
      </w:rPr>
    </w:lvl>
    <w:lvl w:ilvl="5">
      <w:start w:val="1"/>
      <w:numFmt w:val="decimal"/>
      <w:isLgl/>
      <w:lvlText w:val="%1.%2.%3.%4.%5.%6."/>
      <w:lvlJc w:val="left"/>
      <w:pPr>
        <w:ind w:left="1440" w:hanging="1080"/>
      </w:pPr>
      <w:rPr>
        <w:rFonts w:hint="default"/>
        <w:color w:val="0F4761" w:themeColor="accent1" w:themeShade="BF"/>
      </w:rPr>
    </w:lvl>
    <w:lvl w:ilvl="6">
      <w:start w:val="1"/>
      <w:numFmt w:val="decimal"/>
      <w:isLgl/>
      <w:lvlText w:val="%1.%2.%3.%4.%5.%6.%7."/>
      <w:lvlJc w:val="left"/>
      <w:pPr>
        <w:ind w:left="1800" w:hanging="1440"/>
      </w:pPr>
      <w:rPr>
        <w:rFonts w:hint="default"/>
        <w:color w:val="0F4761" w:themeColor="accent1" w:themeShade="BF"/>
      </w:rPr>
    </w:lvl>
    <w:lvl w:ilvl="7">
      <w:start w:val="1"/>
      <w:numFmt w:val="decimal"/>
      <w:isLgl/>
      <w:lvlText w:val="%1.%2.%3.%4.%5.%6.%7.%8."/>
      <w:lvlJc w:val="left"/>
      <w:pPr>
        <w:ind w:left="1800" w:hanging="1440"/>
      </w:pPr>
      <w:rPr>
        <w:rFonts w:hint="default"/>
        <w:color w:val="0F4761" w:themeColor="accent1" w:themeShade="BF"/>
      </w:rPr>
    </w:lvl>
    <w:lvl w:ilvl="8">
      <w:start w:val="1"/>
      <w:numFmt w:val="decimal"/>
      <w:isLgl/>
      <w:lvlText w:val="%1.%2.%3.%4.%5.%6.%7.%8.%9."/>
      <w:lvlJc w:val="left"/>
      <w:pPr>
        <w:ind w:left="2160" w:hanging="1800"/>
      </w:pPr>
      <w:rPr>
        <w:rFonts w:hint="default"/>
        <w:color w:val="0F4761" w:themeColor="accent1" w:themeShade="BF"/>
      </w:rPr>
    </w:lvl>
  </w:abstractNum>
  <w:num w:numId="1" w16cid:durableId="1444230428">
    <w:abstractNumId w:val="3"/>
  </w:num>
  <w:num w:numId="2" w16cid:durableId="240598998">
    <w:abstractNumId w:val="24"/>
  </w:num>
  <w:num w:numId="3" w16cid:durableId="424502064">
    <w:abstractNumId w:val="18"/>
  </w:num>
  <w:num w:numId="4" w16cid:durableId="669137768">
    <w:abstractNumId w:val="4"/>
  </w:num>
  <w:num w:numId="5" w16cid:durableId="517888874">
    <w:abstractNumId w:val="19"/>
  </w:num>
  <w:num w:numId="6" w16cid:durableId="1438674651">
    <w:abstractNumId w:val="10"/>
  </w:num>
  <w:num w:numId="7" w16cid:durableId="1819759868">
    <w:abstractNumId w:val="11"/>
  </w:num>
  <w:num w:numId="8" w16cid:durableId="374160542">
    <w:abstractNumId w:val="12"/>
  </w:num>
  <w:num w:numId="9" w16cid:durableId="535510017">
    <w:abstractNumId w:val="6"/>
  </w:num>
  <w:num w:numId="10" w16cid:durableId="1886988768">
    <w:abstractNumId w:val="22"/>
  </w:num>
  <w:num w:numId="11" w16cid:durableId="1717854490">
    <w:abstractNumId w:val="0"/>
  </w:num>
  <w:num w:numId="12" w16cid:durableId="1370030367">
    <w:abstractNumId w:val="16"/>
  </w:num>
  <w:num w:numId="13" w16cid:durableId="864513686">
    <w:abstractNumId w:val="25"/>
  </w:num>
  <w:num w:numId="14" w16cid:durableId="2120684953">
    <w:abstractNumId w:val="5"/>
  </w:num>
  <w:num w:numId="15" w16cid:durableId="694772249">
    <w:abstractNumId w:val="29"/>
  </w:num>
  <w:num w:numId="16" w16cid:durableId="267666035">
    <w:abstractNumId w:val="1"/>
  </w:num>
  <w:num w:numId="17" w16cid:durableId="1402216858">
    <w:abstractNumId w:val="20"/>
  </w:num>
  <w:num w:numId="18" w16cid:durableId="1055155581">
    <w:abstractNumId w:val="17"/>
  </w:num>
  <w:num w:numId="19" w16cid:durableId="36440258">
    <w:abstractNumId w:val="30"/>
  </w:num>
  <w:num w:numId="20" w16cid:durableId="2118212394">
    <w:abstractNumId w:val="14"/>
  </w:num>
  <w:num w:numId="21" w16cid:durableId="1214778799">
    <w:abstractNumId w:val="27"/>
  </w:num>
  <w:num w:numId="22" w16cid:durableId="758331161">
    <w:abstractNumId w:val="15"/>
  </w:num>
  <w:num w:numId="23" w16cid:durableId="947783794">
    <w:abstractNumId w:val="7"/>
  </w:num>
  <w:num w:numId="24" w16cid:durableId="454448451">
    <w:abstractNumId w:val="9"/>
  </w:num>
  <w:num w:numId="25" w16cid:durableId="1793134035">
    <w:abstractNumId w:val="23"/>
  </w:num>
  <w:num w:numId="26" w16cid:durableId="2142186722">
    <w:abstractNumId w:val="2"/>
  </w:num>
  <w:num w:numId="27" w16cid:durableId="2111927812">
    <w:abstractNumId w:val="8"/>
  </w:num>
  <w:num w:numId="28" w16cid:durableId="1342127843">
    <w:abstractNumId w:val="21"/>
  </w:num>
  <w:num w:numId="29" w16cid:durableId="1718968510">
    <w:abstractNumId w:val="13"/>
  </w:num>
  <w:num w:numId="30" w16cid:durableId="1768773764">
    <w:abstractNumId w:val="26"/>
  </w:num>
  <w:num w:numId="31" w16cid:durableId="187676947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5AE"/>
    <w:rsid w:val="00037109"/>
    <w:rsid w:val="000545FD"/>
    <w:rsid w:val="0006454C"/>
    <w:rsid w:val="00096341"/>
    <w:rsid w:val="000E55E5"/>
    <w:rsid w:val="0015030F"/>
    <w:rsid w:val="001B0E36"/>
    <w:rsid w:val="001C4466"/>
    <w:rsid w:val="0020773F"/>
    <w:rsid w:val="00210ABF"/>
    <w:rsid w:val="002542EB"/>
    <w:rsid w:val="00263BB3"/>
    <w:rsid w:val="0027410C"/>
    <w:rsid w:val="002A6F07"/>
    <w:rsid w:val="002F42B4"/>
    <w:rsid w:val="00331796"/>
    <w:rsid w:val="00343DC9"/>
    <w:rsid w:val="00350091"/>
    <w:rsid w:val="00390E2D"/>
    <w:rsid w:val="003A07FC"/>
    <w:rsid w:val="00435836"/>
    <w:rsid w:val="0045497E"/>
    <w:rsid w:val="004B7ED8"/>
    <w:rsid w:val="004D265F"/>
    <w:rsid w:val="005A6C8C"/>
    <w:rsid w:val="00607F5D"/>
    <w:rsid w:val="0068141E"/>
    <w:rsid w:val="0069062A"/>
    <w:rsid w:val="00703A0C"/>
    <w:rsid w:val="00770123"/>
    <w:rsid w:val="007735EB"/>
    <w:rsid w:val="00803E44"/>
    <w:rsid w:val="0084066F"/>
    <w:rsid w:val="008B6225"/>
    <w:rsid w:val="008C3475"/>
    <w:rsid w:val="008C6FED"/>
    <w:rsid w:val="00933EC7"/>
    <w:rsid w:val="0093468C"/>
    <w:rsid w:val="009417C9"/>
    <w:rsid w:val="00961408"/>
    <w:rsid w:val="0098359C"/>
    <w:rsid w:val="009E237D"/>
    <w:rsid w:val="00AB05AE"/>
    <w:rsid w:val="00AC5EA1"/>
    <w:rsid w:val="00AC6877"/>
    <w:rsid w:val="00AF16D7"/>
    <w:rsid w:val="00B34C34"/>
    <w:rsid w:val="00B521D4"/>
    <w:rsid w:val="00B750A6"/>
    <w:rsid w:val="00B83D5B"/>
    <w:rsid w:val="00B93B17"/>
    <w:rsid w:val="00BB1D2E"/>
    <w:rsid w:val="00BD236F"/>
    <w:rsid w:val="00C03082"/>
    <w:rsid w:val="00C749C2"/>
    <w:rsid w:val="00CC2881"/>
    <w:rsid w:val="00CE0ED3"/>
    <w:rsid w:val="00D146A2"/>
    <w:rsid w:val="00D53D00"/>
    <w:rsid w:val="00DB5D6C"/>
    <w:rsid w:val="00E21C19"/>
    <w:rsid w:val="00E274BA"/>
    <w:rsid w:val="00E72283"/>
    <w:rsid w:val="00EF1930"/>
    <w:rsid w:val="00F03B1C"/>
    <w:rsid w:val="00F32BFC"/>
    <w:rsid w:val="00FC7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D8A288B"/>
  <w15:docId w15:val="{642C16A6-B417-4232-B4E6-617613A55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836"/>
  </w:style>
  <w:style w:type="paragraph" w:styleId="Heading1">
    <w:name w:val="heading 1"/>
    <w:basedOn w:val="Normal"/>
    <w:next w:val="Normal"/>
    <w:link w:val="Heading1Char"/>
    <w:uiPriority w:val="9"/>
    <w:qFormat/>
    <w:rsid w:val="00263BB3"/>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263BB3"/>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BB3"/>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BB3"/>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263BB3"/>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263BB3"/>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263BB3"/>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263BB3"/>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263BB3"/>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263BB3"/>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Heading1Char">
    <w:name w:val="Heading 1 Char"/>
    <w:basedOn w:val="DefaultParagraphFont"/>
    <w:link w:val="Heading1"/>
    <w:uiPriority w:val="9"/>
    <w:rsid w:val="00263BB3"/>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263B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BB3"/>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BB3"/>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263BB3"/>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263BB3"/>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263BB3"/>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263BB3"/>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263BB3"/>
    <w:rPr>
      <w:rFonts w:asciiTheme="majorHAnsi" w:eastAsiaTheme="majorEastAsia" w:hAnsiTheme="majorHAnsi" w:cstheme="majorBidi"/>
      <w:i/>
      <w:iCs/>
      <w:color w:val="0A2F41" w:themeColor="accent1" w:themeShade="80"/>
    </w:rPr>
  </w:style>
  <w:style w:type="character" w:customStyle="1" w:styleId="TitleChar">
    <w:name w:val="Title Char"/>
    <w:basedOn w:val="DefaultParagraphFont"/>
    <w:link w:val="Title"/>
    <w:uiPriority w:val="10"/>
    <w:rsid w:val="00263BB3"/>
    <w:rPr>
      <w:rFonts w:asciiTheme="majorHAnsi" w:eastAsiaTheme="majorEastAsia" w:hAnsiTheme="majorHAnsi" w:cstheme="majorBidi"/>
      <w:caps/>
      <w:color w:val="0E2841" w:themeColor="text2"/>
      <w:spacing w:val="-15"/>
      <w:sz w:val="72"/>
      <w:szCs w:val="72"/>
    </w:rPr>
  </w:style>
  <w:style w:type="character" w:customStyle="1" w:styleId="SubtitleChar">
    <w:name w:val="Subtitle Char"/>
    <w:basedOn w:val="DefaultParagraphFont"/>
    <w:link w:val="Subtitle"/>
    <w:uiPriority w:val="11"/>
    <w:rsid w:val="00263BB3"/>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263BB3"/>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263BB3"/>
    <w:rPr>
      <w:color w:val="0E2841" w:themeColor="text2"/>
      <w:sz w:val="24"/>
      <w:szCs w:val="24"/>
    </w:rPr>
  </w:style>
  <w:style w:type="paragraph" w:styleId="ListParagraph">
    <w:name w:val="List Paragraph"/>
    <w:basedOn w:val="Normal"/>
    <w:uiPriority w:val="34"/>
    <w:qFormat/>
    <w:rsid w:val="00013008"/>
    <w:pPr>
      <w:ind w:left="720"/>
      <w:contextualSpacing/>
    </w:pPr>
  </w:style>
  <w:style w:type="character" w:styleId="IntenseEmphasis">
    <w:name w:val="Intense Emphasis"/>
    <w:basedOn w:val="DefaultParagraphFont"/>
    <w:uiPriority w:val="21"/>
    <w:qFormat/>
    <w:rsid w:val="00263BB3"/>
    <w:rPr>
      <w:b/>
      <w:bCs/>
      <w:i/>
      <w:iCs/>
    </w:rPr>
  </w:style>
  <w:style w:type="paragraph" w:styleId="IntenseQuote">
    <w:name w:val="Intense Quote"/>
    <w:basedOn w:val="Normal"/>
    <w:next w:val="Normal"/>
    <w:link w:val="IntenseQuoteChar"/>
    <w:uiPriority w:val="30"/>
    <w:qFormat/>
    <w:rsid w:val="00263BB3"/>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263BB3"/>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263BB3"/>
    <w:rPr>
      <w:b/>
      <w:bCs/>
      <w:smallCaps/>
      <w:color w:val="0E2841" w:themeColor="text2"/>
      <w:u w:val="single"/>
    </w:rPr>
  </w:style>
  <w:style w:type="character" w:styleId="CommentReference">
    <w:name w:val="annotation reference"/>
    <w:basedOn w:val="DefaultParagraphFont"/>
    <w:uiPriority w:val="99"/>
    <w:semiHidden/>
    <w:unhideWhenUsed/>
    <w:rsid w:val="008B2984"/>
    <w:rPr>
      <w:sz w:val="16"/>
      <w:szCs w:val="16"/>
    </w:rPr>
  </w:style>
  <w:style w:type="paragraph" w:styleId="CommentText">
    <w:name w:val="annotation text"/>
    <w:basedOn w:val="Normal"/>
    <w:link w:val="CommentTextChar"/>
    <w:uiPriority w:val="99"/>
    <w:unhideWhenUsed/>
    <w:rsid w:val="008B2984"/>
    <w:pPr>
      <w:spacing w:line="240" w:lineRule="auto"/>
    </w:pPr>
    <w:rPr>
      <w:sz w:val="20"/>
      <w:szCs w:val="20"/>
    </w:rPr>
  </w:style>
  <w:style w:type="character" w:customStyle="1" w:styleId="CommentTextChar">
    <w:name w:val="Comment Text Char"/>
    <w:basedOn w:val="DefaultParagraphFont"/>
    <w:link w:val="CommentText"/>
    <w:uiPriority w:val="99"/>
    <w:rsid w:val="008B2984"/>
    <w:rPr>
      <w:sz w:val="20"/>
      <w:szCs w:val="20"/>
    </w:rPr>
  </w:style>
  <w:style w:type="paragraph" w:styleId="CommentSubject">
    <w:name w:val="annotation subject"/>
    <w:basedOn w:val="CommentText"/>
    <w:next w:val="CommentText"/>
    <w:link w:val="CommentSubjectChar"/>
    <w:uiPriority w:val="99"/>
    <w:semiHidden/>
    <w:unhideWhenUsed/>
    <w:rsid w:val="008B2984"/>
    <w:rPr>
      <w:b/>
      <w:bCs/>
    </w:rPr>
  </w:style>
  <w:style w:type="character" w:customStyle="1" w:styleId="CommentSubjectChar">
    <w:name w:val="Comment Subject Char"/>
    <w:basedOn w:val="CommentTextChar"/>
    <w:link w:val="CommentSubject"/>
    <w:uiPriority w:val="99"/>
    <w:semiHidden/>
    <w:rsid w:val="008B2984"/>
    <w:rPr>
      <w:b/>
      <w:bCs/>
      <w:sz w:val="20"/>
      <w:szCs w:val="20"/>
    </w:rPr>
  </w:style>
  <w:style w:type="paragraph" w:styleId="Subtitle">
    <w:name w:val="Subtitle"/>
    <w:basedOn w:val="Normal"/>
    <w:next w:val="Normal"/>
    <w:link w:val="SubtitleChar"/>
    <w:uiPriority w:val="11"/>
    <w:qFormat/>
    <w:rsid w:val="00263BB3"/>
    <w:pPr>
      <w:numPr>
        <w:ilvl w:val="1"/>
      </w:numPr>
      <w:spacing w:after="240" w:line="240" w:lineRule="auto"/>
    </w:pPr>
    <w:rPr>
      <w:rFonts w:asciiTheme="majorHAnsi" w:eastAsiaTheme="majorEastAsia" w:hAnsiTheme="majorHAnsi" w:cstheme="majorBidi"/>
      <w:color w:val="156082" w:themeColor="accent1"/>
      <w:sz w:val="28"/>
      <w:szCs w:val="28"/>
    </w:rPr>
  </w:style>
  <w:style w:type="paragraph" w:styleId="Header">
    <w:name w:val="header"/>
    <w:basedOn w:val="Normal"/>
    <w:link w:val="HeaderChar"/>
    <w:uiPriority w:val="99"/>
    <w:unhideWhenUsed/>
    <w:rsid w:val="007701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123"/>
  </w:style>
  <w:style w:type="paragraph" w:styleId="Footer">
    <w:name w:val="footer"/>
    <w:basedOn w:val="Normal"/>
    <w:link w:val="FooterChar"/>
    <w:uiPriority w:val="99"/>
    <w:unhideWhenUsed/>
    <w:rsid w:val="007701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123"/>
  </w:style>
  <w:style w:type="paragraph" w:styleId="TOCHeading">
    <w:name w:val="TOC Heading"/>
    <w:basedOn w:val="Heading1"/>
    <w:next w:val="Normal"/>
    <w:uiPriority w:val="39"/>
    <w:unhideWhenUsed/>
    <w:qFormat/>
    <w:rsid w:val="00263BB3"/>
    <w:pPr>
      <w:outlineLvl w:val="9"/>
    </w:pPr>
  </w:style>
  <w:style w:type="paragraph" w:styleId="FootnoteText">
    <w:name w:val="footnote text"/>
    <w:basedOn w:val="Normal"/>
    <w:link w:val="FootnoteTextChar"/>
    <w:uiPriority w:val="99"/>
    <w:semiHidden/>
    <w:unhideWhenUsed/>
    <w:rsid w:val="00BB1D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1D2E"/>
    <w:rPr>
      <w:sz w:val="20"/>
      <w:szCs w:val="20"/>
    </w:rPr>
  </w:style>
  <w:style w:type="character" w:styleId="FootnoteReference">
    <w:name w:val="footnote reference"/>
    <w:basedOn w:val="DefaultParagraphFont"/>
    <w:uiPriority w:val="99"/>
    <w:semiHidden/>
    <w:unhideWhenUsed/>
    <w:rsid w:val="00BB1D2E"/>
    <w:rPr>
      <w:vertAlign w:val="superscript"/>
    </w:rPr>
  </w:style>
  <w:style w:type="character" w:styleId="Hyperlink">
    <w:name w:val="Hyperlink"/>
    <w:basedOn w:val="DefaultParagraphFont"/>
    <w:uiPriority w:val="99"/>
    <w:unhideWhenUsed/>
    <w:rsid w:val="001B0E36"/>
    <w:rPr>
      <w:color w:val="467886" w:themeColor="hyperlink"/>
      <w:u w:val="single"/>
    </w:rPr>
  </w:style>
  <w:style w:type="character" w:styleId="UnresolvedMention">
    <w:name w:val="Unresolved Mention"/>
    <w:basedOn w:val="DefaultParagraphFont"/>
    <w:uiPriority w:val="99"/>
    <w:semiHidden/>
    <w:unhideWhenUsed/>
    <w:rsid w:val="001B0E36"/>
    <w:rPr>
      <w:color w:val="605E5C"/>
      <w:shd w:val="clear" w:color="auto" w:fill="E1DFDD"/>
    </w:rPr>
  </w:style>
  <w:style w:type="paragraph" w:styleId="Caption">
    <w:name w:val="caption"/>
    <w:basedOn w:val="Normal"/>
    <w:next w:val="Normal"/>
    <w:uiPriority w:val="35"/>
    <w:semiHidden/>
    <w:unhideWhenUsed/>
    <w:qFormat/>
    <w:rsid w:val="00263BB3"/>
    <w:pPr>
      <w:spacing w:line="240" w:lineRule="auto"/>
    </w:pPr>
    <w:rPr>
      <w:b/>
      <w:bCs/>
      <w:smallCaps/>
      <w:color w:val="0E2841" w:themeColor="text2"/>
    </w:rPr>
  </w:style>
  <w:style w:type="character" w:styleId="Strong">
    <w:name w:val="Strong"/>
    <w:basedOn w:val="DefaultParagraphFont"/>
    <w:uiPriority w:val="22"/>
    <w:qFormat/>
    <w:rsid w:val="00263BB3"/>
    <w:rPr>
      <w:b/>
      <w:bCs/>
    </w:rPr>
  </w:style>
  <w:style w:type="character" w:styleId="Emphasis">
    <w:name w:val="Emphasis"/>
    <w:basedOn w:val="DefaultParagraphFont"/>
    <w:uiPriority w:val="20"/>
    <w:qFormat/>
    <w:rsid w:val="00263BB3"/>
    <w:rPr>
      <w:i/>
      <w:iCs/>
    </w:rPr>
  </w:style>
  <w:style w:type="paragraph" w:styleId="NoSpacing">
    <w:name w:val="No Spacing"/>
    <w:uiPriority w:val="1"/>
    <w:qFormat/>
    <w:rsid w:val="00263BB3"/>
    <w:pPr>
      <w:spacing w:after="0" w:line="240" w:lineRule="auto"/>
    </w:pPr>
  </w:style>
  <w:style w:type="character" w:styleId="SubtleEmphasis">
    <w:name w:val="Subtle Emphasis"/>
    <w:basedOn w:val="DefaultParagraphFont"/>
    <w:uiPriority w:val="19"/>
    <w:qFormat/>
    <w:rsid w:val="00263BB3"/>
    <w:rPr>
      <w:i/>
      <w:iCs/>
      <w:color w:val="595959" w:themeColor="text1" w:themeTint="A6"/>
    </w:rPr>
  </w:style>
  <w:style w:type="character" w:styleId="SubtleReference">
    <w:name w:val="Subtle Reference"/>
    <w:basedOn w:val="DefaultParagraphFont"/>
    <w:uiPriority w:val="31"/>
    <w:qFormat/>
    <w:rsid w:val="00263BB3"/>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263BB3"/>
    <w:rPr>
      <w:b/>
      <w:bCs/>
      <w:smallCaps/>
      <w:spacing w:val="10"/>
    </w:rPr>
  </w:style>
  <w:style w:type="paragraph" w:styleId="TOC1">
    <w:name w:val="toc 1"/>
    <w:basedOn w:val="Normal"/>
    <w:next w:val="Normal"/>
    <w:autoRedefine/>
    <w:uiPriority w:val="39"/>
    <w:unhideWhenUsed/>
    <w:rsid w:val="00C03082"/>
    <w:pPr>
      <w:spacing w:after="100"/>
    </w:pPr>
  </w:style>
  <w:style w:type="paragraph" w:styleId="TOC2">
    <w:name w:val="toc 2"/>
    <w:basedOn w:val="Normal"/>
    <w:next w:val="Normal"/>
    <w:autoRedefine/>
    <w:uiPriority w:val="39"/>
    <w:unhideWhenUsed/>
    <w:rsid w:val="00C03082"/>
    <w:pPr>
      <w:spacing w:after="100"/>
      <w:ind w:left="220"/>
    </w:pPr>
  </w:style>
  <w:style w:type="paragraph" w:customStyle="1" w:styleId="tvhtmlmktable">
    <w:name w:val="tv_html mk_table"/>
    <w:basedOn w:val="Normal"/>
    <w:rsid w:val="008B6225"/>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table" w:styleId="TableGrid">
    <w:name w:val="Table Grid"/>
    <w:basedOn w:val="TableNormal"/>
    <w:uiPriority w:val="39"/>
    <w:qFormat/>
    <w:rsid w:val="008B622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ic.lv" TargetMode="External"/><Relationship Id="rId5" Type="http://schemas.openxmlformats.org/officeDocument/2006/relationships/settings" Target="settings.xml"/><Relationship Id="rId10" Type="http://schemas.openxmlformats.org/officeDocument/2006/relationships/hyperlink" Target="mailto:diplomi@aic.lv"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3" Type="http://schemas.openxmlformats.org/officeDocument/2006/relationships/hyperlink" Target="https://www.education.gov.au/download/13591/national-microcredentials-framework/26500/document/pdf?utm_source=chatgpt.com" TargetMode="External"/><Relationship Id="rId18" Type="http://schemas.openxmlformats.org/officeDocument/2006/relationships/hyperlink" Target="https://www.etf.europa.eu/en?utm_source=chatgpt.com" TargetMode="External"/><Relationship Id="rId26" Type="http://schemas.openxmlformats.org/officeDocument/2006/relationships/hyperlink" Target="https://likumi.lv/ta/id/37967-augstskolu-likums" TargetMode="External"/><Relationship Id="rId39" Type="http://schemas.openxmlformats.org/officeDocument/2006/relationships/hyperlink" Target="https://likumi.lv/ta/id/301013" TargetMode="External"/><Relationship Id="rId21" Type="http://schemas.openxmlformats.org/officeDocument/2006/relationships/hyperlink" Target="https://www.enqa.eu/wp-content/uploads/IMINQA-MC-report_Approaches-to-Quality-Assurance-of-Micro-credentials.pdf?utm_source=chatgpt.com" TargetMode="External"/><Relationship Id="rId34" Type="http://schemas.openxmlformats.org/officeDocument/2006/relationships/hyperlink" Target="https://www.aika.lv/profesionalas-talakizglitibas-un-profesionalas-pilnveides-programmu-registracijas-vadlinijas/" TargetMode="External"/><Relationship Id="rId42" Type="http://schemas.openxmlformats.org/officeDocument/2006/relationships/hyperlink" Target="https://europass.europa.eu/en" TargetMode="External"/><Relationship Id="rId47" Type="http://schemas.openxmlformats.org/officeDocument/2006/relationships/hyperlink" Target="https://www.etf.europa.eu/sites/default/files/2023-05/Micro-Credential%20Guidelines%20Final%20Delivery.pdf?utm_source=chatgpt.com" TargetMode="External"/><Relationship Id="rId50" Type="http://schemas.openxmlformats.org/officeDocument/2006/relationships/hyperlink" Target="https://digivisio2030.fi/en?utm_source=chatgpt.com" TargetMode="External"/><Relationship Id="rId55" Type="http://schemas.openxmlformats.org/officeDocument/2006/relationships/hyperlink" Target="https://www.versnellingsplan.nl/en/Kennisbank/pilot-microcredentials?utm_source=chatgpt.com" TargetMode="External"/><Relationship Id="rId7" Type="http://schemas.openxmlformats.org/officeDocument/2006/relationships/hyperlink" Target="https://registri.visc.gov.lv/profizglitiba/stand_registrs_2017.shtml" TargetMode="External"/><Relationship Id="rId2" Type="http://schemas.openxmlformats.org/officeDocument/2006/relationships/hyperlink" Target="https://likumi.lv/ta/id/37967-augstskolu-likums" TargetMode="External"/><Relationship Id="rId16" Type="http://schemas.openxmlformats.org/officeDocument/2006/relationships/hyperlink" Target="https://www.coursera.org/reports/global-skills-report-2024" TargetMode="External"/><Relationship Id="rId29" Type="http://schemas.openxmlformats.org/officeDocument/2006/relationships/hyperlink" Target="https://likumi.lv/ta/id/342818-noteikumi-par-valsts-profesionalas-augstakas-izglitibas-standartu" TargetMode="External"/><Relationship Id="rId11" Type="http://schemas.openxmlformats.org/officeDocument/2006/relationships/hyperlink" Target="https://www2.nzqa.govt.nz/about-us/publications/insights-papers/improving-relevance-and-responsiveness-2/?utm_source=chatgpt.com" TargetMode="External"/><Relationship Id="rId24" Type="http://schemas.openxmlformats.org/officeDocument/2006/relationships/hyperlink" Target="https://digivisio2030.fi/en?utm_source=chatgpt.com" TargetMode="External"/><Relationship Id="rId32" Type="http://schemas.openxmlformats.org/officeDocument/2006/relationships/hyperlink" Target="https://www.aika.lv/wp-content/uploads/2019/12/ESG_2015_latviski.pdf" TargetMode="External"/><Relationship Id="rId37" Type="http://schemas.openxmlformats.org/officeDocument/2006/relationships/hyperlink" Target="https://likumi.lv/ta/id/339330-valsts-atzitu-profesionalo-izglitibu-un-profesionalo-kvalifikaciju-apliecinosu-dokumentu-modula-apliecibu-un-profesionalas-izglitibas-programmas-dalas-apguvi-apliecinosu-dokumentu-noteikumi" TargetMode="External"/><Relationship Id="rId40" Type="http://schemas.openxmlformats.org/officeDocument/2006/relationships/hyperlink" Target="https://likumi.lv/ta/id/96800-studiju-uzsaksanas-kartiba-velakos-studiju-posmos" TargetMode="External"/><Relationship Id="rId45" Type="http://schemas.openxmlformats.org/officeDocument/2006/relationships/hyperlink" Target="https://deming.org/explore/pdsa/" TargetMode="External"/><Relationship Id="rId53" Type="http://schemas.openxmlformats.org/officeDocument/2006/relationships/hyperlink" Target="https://ut.ee/en/content/micro-credential-programmes?utm_source=chatgpt.com" TargetMode="External"/><Relationship Id="rId58" Type="http://schemas.openxmlformats.org/officeDocument/2006/relationships/hyperlink" Target="https://www.education.gov.au/download/13591/national-microcredentials-framework/26500/document/pdf?utm_source=chatgpt.com" TargetMode="External"/><Relationship Id="rId5" Type="http://schemas.openxmlformats.org/officeDocument/2006/relationships/hyperlink" Target="https://likumi.lv/ta/id/349948-noteikumi-par-valsts-profesionalas-talakizglitibas-un-profesionalas-pilnveides-izglitibas-standartu%C2%A0" TargetMode="External"/><Relationship Id="rId19" Type="http://schemas.openxmlformats.org/officeDocument/2006/relationships/hyperlink" Target="https://www.etf.europa.eu/en?utm_source=chatgpt.com" TargetMode="External"/><Relationship Id="rId4" Type="http://schemas.openxmlformats.org/officeDocument/2006/relationships/hyperlink" Target="https://likumi.lv/ta/id/291524-noteikumi-par-latvijas-izglitibas-klasifikaciju" TargetMode="External"/><Relationship Id="rId9" Type="http://schemas.openxmlformats.org/officeDocument/2006/relationships/hyperlink" Target="https://www.aaltoee.fi/en/micro-credentials?utm_source=chatgpt.com" TargetMode="External"/><Relationship Id="rId14" Type="http://schemas.openxmlformats.org/officeDocument/2006/relationships/hyperlink" Target="https://education.ec.europa.eu/education-levels/higher-education/micro-credentials?utm_source=chatgpt.com" TargetMode="External"/><Relationship Id="rId22" Type="http://schemas.openxmlformats.org/officeDocument/2006/relationships/hyperlink" Target="https://microcreds.ie/?utm_source=chatgpt.com" TargetMode="External"/><Relationship Id="rId27" Type="http://schemas.openxmlformats.org/officeDocument/2006/relationships/hyperlink" Target="https://likumi.lv/ta/id/342818-noteikumi-par-valsts-profesionalas-augstakas-izglitibas-standartu" TargetMode="External"/><Relationship Id="rId30" Type="http://schemas.openxmlformats.org/officeDocument/2006/relationships/hyperlink" Target="https://likumi.lv/ta/id/291524-noteikumi-par-latvijas-izglitibas-klasifikaciju" TargetMode="External"/><Relationship Id="rId35" Type="http://schemas.openxmlformats.org/officeDocument/2006/relationships/hyperlink" Target="https://www.aika.lv/profesionalas-talakizglitibas-un-profesionalas-pilnveides-programmu-registracijas-vadlinijas/" TargetMode="External"/><Relationship Id="rId43" Type="http://schemas.openxmlformats.org/officeDocument/2006/relationships/hyperlink" Target="https://stars.gov.lv/stars-iespejas" TargetMode="External"/><Relationship Id="rId48" Type="http://schemas.openxmlformats.org/officeDocument/2006/relationships/hyperlink" Target="https://www.etf.europa.eu/sites/default/files/2023-05/Micro-Credential%20Guidelines%20Final%20Delivery.pdf?utm_source=chatgpt.com" TargetMode="External"/><Relationship Id="rId56" Type="http://schemas.openxmlformats.org/officeDocument/2006/relationships/hyperlink" Target="https://www.versnellingsplan.nl/en/Kennisbank/pilot-microcredentials?utm_source=chatgpt.com" TargetMode="External"/><Relationship Id="rId8" Type="http://schemas.openxmlformats.org/officeDocument/2006/relationships/hyperlink" Target="https://www.aaltoee.fi/en/micro-credentials?utm_source=chatgpt.com" TargetMode="External"/><Relationship Id="rId51" Type="http://schemas.openxmlformats.org/officeDocument/2006/relationships/hyperlink" Target="https://microcreds.ie?utm_source=chatgpt.com" TargetMode="External"/><Relationship Id="rId3" Type="http://schemas.openxmlformats.org/officeDocument/2006/relationships/hyperlink" Target="https://likumi.lv/ta/id/20244-profesionalas-izglitibas-likums" TargetMode="External"/><Relationship Id="rId12" Type="http://schemas.openxmlformats.org/officeDocument/2006/relationships/hyperlink" Target="https://www.education.gov.au/download/13591/national-microcredentials-framework/26500/document/pdf?utm_source=chatgpt.com" TargetMode="External"/><Relationship Id="rId17" Type="http://schemas.openxmlformats.org/officeDocument/2006/relationships/hyperlink" Target="https://www.coursera.org/reports/global-skills-report-2024" TargetMode="External"/><Relationship Id="rId25" Type="http://schemas.openxmlformats.org/officeDocument/2006/relationships/hyperlink" Target="https://digivisio2030.fi/en?utm_source=chatgpt.com" TargetMode="External"/><Relationship Id="rId33" Type="http://schemas.openxmlformats.org/officeDocument/2006/relationships/hyperlink" Target="https://likumi.lv/ta/id/349948-noteikumi-par-valsts-profesionalas-talakizglitibas-un-profesionalas-pilnveides-izglitibas-standartu%C2%A0" TargetMode="External"/><Relationship Id="rId38" Type="http://schemas.openxmlformats.org/officeDocument/2006/relationships/hyperlink" Target="https://likumi.lv/ta/id/301013" TargetMode="External"/><Relationship Id="rId46" Type="http://schemas.openxmlformats.org/officeDocument/2006/relationships/hyperlink" Target="https://ehea.info/Immagini/QUATRA_-_TPG_A_recommendations_on_micro-credentials_09.11_.2023_.pdf" TargetMode="External"/><Relationship Id="rId59" Type="http://schemas.openxmlformats.org/officeDocument/2006/relationships/hyperlink" Target="https://www2.nzqa.govt.nz/about-us/publications/insights-papers/improving-relevance-and-responsiveness-2/?utm_source=chatgpt.com" TargetMode="External"/><Relationship Id="rId20" Type="http://schemas.openxmlformats.org/officeDocument/2006/relationships/hyperlink" Target="https://www.enqa.eu/wp-content/uploads/IMINQA-MC-report_Approaches-to-Quality-Assurance-of-Micro-credentials.pdf?utm_source=chatgpt.com" TargetMode="External"/><Relationship Id="rId41" Type="http://schemas.openxmlformats.org/officeDocument/2006/relationships/hyperlink" Target="https://europass.europa.eu/lv/european-digital-credentials-learning" TargetMode="External"/><Relationship Id="rId54" Type="http://schemas.openxmlformats.org/officeDocument/2006/relationships/hyperlink" Target="https://ut.ee/en/content/micro-credential-programmes?utm_source=chatgpt.com" TargetMode="External"/><Relationship Id="rId1" Type="http://schemas.openxmlformats.org/officeDocument/2006/relationships/hyperlink" Target="https://likumi.lv/ta/id/50759-izglitibas-likums" TargetMode="External"/><Relationship Id="rId6" Type="http://schemas.openxmlformats.org/officeDocument/2006/relationships/hyperlink" Target="https://likumi.lv/ta/id/339330-valsts-atzitu-profesionalo-izglitibu-un-profesionalo-kvalifikaciju-apliecinosu-dokumentu-modula-apliecibu-un-profesionalas-izglitibas-programmas-dalas-apguvi-apliecinosu-dokumentu-noteikumi" TargetMode="External"/><Relationship Id="rId15" Type="http://schemas.openxmlformats.org/officeDocument/2006/relationships/hyperlink" Target="https://education.ec.europa.eu/education-levels/higher-education/micro-credentials?utm_source=chatgpt.com" TargetMode="External"/><Relationship Id="rId23" Type="http://schemas.openxmlformats.org/officeDocument/2006/relationships/hyperlink" Target="https://microcreds.ie/?utm_source=chatgpt.com" TargetMode="External"/><Relationship Id="rId28" Type="http://schemas.openxmlformats.org/officeDocument/2006/relationships/hyperlink" Target="https://www.aika.lv/wp-content/uploads/2019/12/ESG_2015_latviski.pdf" TargetMode="External"/><Relationship Id="rId36" Type="http://schemas.openxmlformats.org/officeDocument/2006/relationships/hyperlink" Target="https://stars.gov.lv/stars-iespejas" TargetMode="External"/><Relationship Id="rId49" Type="http://schemas.openxmlformats.org/officeDocument/2006/relationships/hyperlink" Target="https://digivisio2030.fi/en?utm_source=chatgpt.com" TargetMode="External"/><Relationship Id="rId57" Type="http://schemas.openxmlformats.org/officeDocument/2006/relationships/hyperlink" Target="https://www.education.gov.au/download/13591/national-microcredentials-framework/26500/document/pdf?utm_source=chatgpt.com" TargetMode="External"/><Relationship Id="rId10" Type="http://schemas.openxmlformats.org/officeDocument/2006/relationships/hyperlink" Target="https://www2.nzqa.govt.nz/about-us/publications/insights-papers/improving-relevance-and-responsiveness-2/?utm_source=chatgpt.com" TargetMode="External"/><Relationship Id="rId31" Type="http://schemas.openxmlformats.org/officeDocument/2006/relationships/hyperlink" Target="https://likumi.lv/ta/id/329849-attalinato-macibu-organizesanas-un-istenosanas-kartiba" TargetMode="External"/><Relationship Id="rId44" Type="http://schemas.openxmlformats.org/officeDocument/2006/relationships/hyperlink" Target="https://eur-lex.europa.eu/legal-content/LV/TXT/PDF/?uri=CELEX:32022H0627(02)" TargetMode="External"/><Relationship Id="rId52" Type="http://schemas.openxmlformats.org/officeDocument/2006/relationships/hyperlink" Target="https://microcreds.ie?utm_source=chatgpt.com" TargetMode="External"/><Relationship Id="rId60" Type="http://schemas.openxmlformats.org/officeDocument/2006/relationships/hyperlink" Target="https://www2.nzqa.govt.nz/about-us/publications/insights-papers/improving-relevance-and-responsiveness-2/?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zdRefyA0vY83P9zxHyjFrqx4jw==">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68FAABE-0221-4382-9C44-5EE0F77D4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21</Pages>
  <Words>32080</Words>
  <Characters>18286</Characters>
  <Application>Microsoft Office Word</Application>
  <DocSecurity>0</DocSecurity>
  <Lines>152</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Anžela Jurāne - Brēmane</dc:creator>
  <cp:lastModifiedBy>Aija</cp:lastModifiedBy>
  <cp:revision>3</cp:revision>
  <dcterms:created xsi:type="dcterms:W3CDTF">2026-02-11T10:48:00Z</dcterms:created>
  <dcterms:modified xsi:type="dcterms:W3CDTF">2026-02-13T08:32:00Z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6176bc32-5436-40db-b706-6cbd37f76dc5</vt:lpwstr>
  </property>
</Properties>
</file>